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</w:rPr>
      </w:pPr>
      <w:r>
        <w:rPr>
          <w:rFonts w:cs="Arial"/>
          <w:b/>
          <w:bCs/>
          <w:i/>
          <w:iCs/>
          <w:sz w:val="16"/>
          <w:szCs w:val="16"/>
        </w:rPr>
        <w:t>Załącznik nr 2</w:t>
      </w:r>
      <w:r>
        <w:rPr>
          <w:rFonts w:cs="Arial"/>
          <w:b w:val="false"/>
          <w:bCs w:val="false"/>
          <w:i/>
          <w:iCs/>
          <w:sz w:val="16"/>
          <w:szCs w:val="16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>z dnia 2 maja 2024 r.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Spacing"/>
        <w:spacing w:lineRule="auto" w:line="240"/>
        <w:jc w:val="center"/>
        <w:rPr>
          <w:rFonts w:ascii="Calibri" w:hAnsi="Calibri" w:cs="Calibri"/>
          <w:b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 xml:space="preserve">Oświadczenie Wykonawcy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dotyczące braku podstaw wykluczenia i dodatkowe oświadczenia</w:t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cs="Calibri"/>
          <w:b/>
          <w:color w:val="000000"/>
          <w:sz w:val="24"/>
          <w:szCs w:val="24"/>
          <w:shd w:fill="CCCCCC" w:val="clear"/>
        </w:rPr>
        <w:t>szarym</w:t>
      </w:r>
      <w:r>
        <w:rPr>
          <w:rFonts w:cs="Calibri"/>
          <w:b/>
          <w:color w:val="000000"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923"/>
      </w:tblGrid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Zamawiającego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Warszawie, XII Wydział Gospodarczy Krajowego Rejestru Sądowego, pod numerem KRS: 0000225587 jako organizacja pożytku publicznego, NIP: PL5260250481, REGON: 007023731, posiadający status dużego przedsiębiorcy, w rozumieniu ustawy o przeciwdziałaniu nadmiernym opóźnieniom w transakcjach handlowych (dalej również: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Jakiego zamówienia dotyczy niniejszy dokument?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Tytuł lub krótki opis udzielanego zamówienia: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/>
              </w:rPr>
              <w:t>Zaproszenie do udziału w postępowaniu przetargowym na dostawę</w:t>
              <w:br/>
              <w:t>i wdrożenie zintegrowanego systemu informatycznego klasy ERP</w:t>
              <w:br/>
              <w:t>dla Polskiego Czerwonego Krzyża z dnia 2 maja 2024 r.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4520"/>
      </w:tblGrid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Wykonawcy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Kraj rejestracji działalności: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Osoba lub osoby upoważnione do reprezentowania Wykonawcy (zgodnie z danymi rejestrowymi bądź stosownym upoważnieniem, które należy przedstawić w załączeniu):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2"/>
        <w:gridCol w:w="2635"/>
      </w:tblGrid>
      <w:tr>
        <w:trPr/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praca dzieci i inne formy handlu ludźmi.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oświadcza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wydany został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Wykonawcy stwierdzono w przeszłości, iż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dopuścił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on rażącego naruszenia umowy, w związku z niedopełnieniem zobowiązań umownych, w ramach innego postępowania o udzielenie zamówienia lub postępowania o udzielenie grantu, finansowanyc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shd w:fill="auto" w:val="clear"/>
                <w:lang w:val="pl-PL"/>
              </w:rPr>
              <w:t>h przez Polski Czerwony Krzyż (Zamawiającego), Niemiecki Czerwony Krzyż, Międzynarodową Federację Towarzystw Czerwonego Krzyża i Czerwonego Półksiężyca (IFRC) lub z budże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tu Unii Europejskiej?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-38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na dzień złożenia niniejszego Oświadczenia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wywiązał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znajduje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f) jego działalność gospodarcza jest zawieszona?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wie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9"/>
        <w:gridCol w:w="2650"/>
      </w:tblGrid>
      <w:tr>
        <w:trPr/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Calibri"/>
                  <w:b/>
                  <w:color w:val="000000"/>
                  <w:kern w:val="0"/>
                  <w:sz w:val="18"/>
                  <w:szCs w:val="18"/>
                  <w:lang w:val="pl-PL"/>
                </w:rPr>
                <w:t>https://pck.pl/dokumenty/</w:t>
              </w:r>
            </w:hyperlink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i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 xml:space="preserve"> przestrzegać: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a) przepisów ochrony środowiska obowiązujących w kraju, w którym usługi mają być świadczone;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b) międzynarodowo uznanych standardów pracy, np. podstawowych standardów pracy Międzynarodowej Organizacji Pracy;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right="0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cs="Calibri"/>
          <w:b/>
          <w:color w:val="000000"/>
          <w:sz w:val="18"/>
          <w:szCs w:val="18"/>
        </w:rPr>
        <w:t>) przeprowadzanego przez: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Komisję Europejską,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Europejski Urząd ds. Zwalczania Nadużyć Finansowych (OLAF),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Europejski Trybunał Obrachunkowy,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/>
          <w:b/>
          <w:color w:val="000000"/>
          <w:sz w:val="18"/>
          <w:szCs w:val="18"/>
        </w:rPr>
        <w:t>biegłych księgo</w:t>
      </w:r>
      <w:r>
        <w:rPr>
          <w:rFonts w:cs="Calibri"/>
          <w:b/>
          <w:color w:val="000000"/>
          <w:sz w:val="18"/>
          <w:szCs w:val="18"/>
          <w:shd w:fill="auto" w:val="clear"/>
        </w:rPr>
        <w:t>wych/konsultantów/audytorów na zlecenie Polskiego Czerwonego Krzyża (Zamawiającego), Niemieckiego Czerwony Krzyża, Międzynarodowej Federacji Towarzystw Czerwonego Krzyża i Czerwonego Półksiężyca (IFRC) lub odpow</w:t>
      </w:r>
      <w:r>
        <w:rPr>
          <w:rFonts w:cs="Calibri"/>
          <w:b/>
          <w:color w:val="000000"/>
          <w:sz w:val="18"/>
          <w:szCs w:val="18"/>
        </w:rPr>
        <w:t>iedniego Darczyńcy.</w:t>
      </w:r>
    </w:p>
    <w:p>
      <w:pPr>
        <w:pStyle w:val="NoSpacing"/>
        <w:numPr>
          <w:ilvl w:val="0"/>
          <w:numId w:val="4"/>
        </w:numPr>
        <w:spacing w:lineRule="auto" w:line="276"/>
        <w:ind w:left="283" w:right="0" w:hanging="283"/>
        <w:jc w:val="both"/>
        <w:rPr>
          <w:rFonts w:ascii="Calibri" w:hAnsi="Calibri" w:cs="Calibri"/>
          <w:b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720" w:right="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Podpisano przez: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Podpis: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right="0" w:hanging="0"/>
        <w:jc w:val="center"/>
        <w:rPr>
          <w:rFonts w:ascii="Calibri" w:hAnsi="Calibr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567" w:bottom="62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PAGE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4</w:t>
    </w:r>
    <w:r>
      <w:rPr>
        <w:sz w:val="16"/>
        <w:szCs w:val="16"/>
        <w:rFonts w:cs="Calibri"/>
      </w:rPr>
      <w:fldChar w:fldCharType="end"/>
    </w:r>
    <w:r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/ </w:t>
    </w: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NUMPAGES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4</w:t>
    </w:r>
    <w:r>
      <w:rPr>
        <w:sz w:val="16"/>
        <w:szCs w:val="16"/>
        <w:rFonts w:cs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宋体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Normaltextrun">
    <w:name w:val="normaltextrun"/>
    <w:qFormat/>
    <w:rPr/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宋体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9852</Characters>
  <Paragraphs>111</Paragraphs>
  <CharactersWithSpaces>11125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2024-05-01T21:19:38Z</dcterms:created>
  <dcterms:modified xsi:type="dcterms:W3CDTF">2024-05-01T21:59:10Z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Admin\59558957.1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2 Oswiadczenie Wykonawcy dotyczące wykluczenia i dodatkowe oswiadczenia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59558957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0x010100DBC639BC62D8AD4BB40C9DF742312D59</vt:lpwstr>
  </property>
  <property fmtid="{D5CDD505-2E9C-101B-9397-08002B2CF9AE}" pid="12" name="ICV">
    <vt:lpwstr>731819FA5F904590AAA7AFD9A9277BAF_12</vt:lpwstr>
  </property>
  <property fmtid="{D5CDD505-2E9C-101B-9397-08002B2CF9AE}" pid="13" name="KSOProductBuildVer">
    <vt:lpwstr>1031-12.2.0.13306</vt:lpwstr>
  </property>
  <property fmtid="{D5CDD505-2E9C-101B-9397-08002B2CF9AE}" pid="14" name="MediaServiceImageTags">
    <vt:lpwstr/>
  </property>
</Properties>
</file>