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b/>
          <w:b/>
          <w:sz w:val="32"/>
          <w:szCs w:val="32"/>
          <w:lang w:val="en-US"/>
        </w:rPr>
      </w:pPr>
      <w:r>
        <w:rPr>
          <w:rFonts w:ascii="Calibri" w:hAnsi="Calibri"/>
          <w:b/>
          <w:sz w:val="32"/>
          <w:szCs w:val="32"/>
          <w:lang w:val="en-US"/>
        </w:rPr>
      </w:r>
    </w:p>
    <w:p>
      <w:pPr>
        <w:pStyle w:val="Normal"/>
        <w:jc w:val="center"/>
        <w:rPr>
          <w:rFonts w:ascii="Calibri" w:hAnsi="Calibri"/>
          <w:b/>
          <w:b/>
          <w:sz w:val="32"/>
          <w:szCs w:val="32"/>
          <w:lang w:val="en-US"/>
        </w:rPr>
      </w:pPr>
      <w:r>
        <w:rPr>
          <w:rFonts w:ascii="Calibri" w:hAnsi="Calibri"/>
          <w:b/>
          <w:bCs/>
          <w:sz w:val="32"/>
          <w:szCs w:val="32"/>
          <w:lang w:val="en-US"/>
        </w:rPr>
        <w:t>POLISH RED CROSS BUILDING IN WARSAW</w:t>
      </w:r>
    </w:p>
    <w:p>
      <w:pPr>
        <w:pStyle w:val="Nagwek5"/>
        <w:spacing w:before="240" w:after="60"/>
        <w:jc w:val="center"/>
        <w:rPr>
          <w:rFonts w:ascii="Calibri" w:hAnsi="Calibri" w:eastAsia="Calibri" w:cs="Calibri"/>
          <w:b/>
          <w:b/>
          <w:bCs/>
          <w:i/>
          <w:i/>
          <w:iCs/>
          <w:sz w:val="32"/>
          <w:szCs w:val="32"/>
          <w:lang w:val="en-GB"/>
        </w:rPr>
      </w:pPr>
      <w:r>
        <w:rPr>
          <w:rFonts w:eastAsia="Calibri" w:cs="Calibri"/>
          <w:b/>
          <w:bCs/>
          <w:i w:val="false"/>
          <w:iCs w:val="false"/>
          <w:sz w:val="32"/>
          <w:szCs w:val="32"/>
          <w:lang w:val="en-GB"/>
        </w:rPr>
        <w:t>6</w:t>
      </w:r>
      <w:r>
        <w:rPr>
          <w:rFonts w:eastAsia="Calibri" w:cs="Calibri"/>
          <w:b/>
          <w:bCs/>
          <w:i w:val="false"/>
          <w:iCs w:val="false"/>
          <w:sz w:val="32"/>
          <w:szCs w:val="32"/>
          <w:vertAlign w:val="superscript"/>
          <w:lang w:val="en-GB"/>
        </w:rPr>
        <w:t>th</w:t>
      </w:r>
      <w:r>
        <w:rPr>
          <w:rFonts w:eastAsia="Calibri" w:cs="Calibri"/>
          <w:b/>
          <w:bCs/>
          <w:i w:val="false"/>
          <w:iCs w:val="false"/>
          <w:sz w:val="32"/>
          <w:szCs w:val="32"/>
          <w:lang w:val="en-GB"/>
        </w:rPr>
        <w:t xml:space="preserve"> FLOOR RENOVATION</w:t>
      </w:r>
    </w:p>
    <w:p>
      <w:pPr>
        <w:pStyle w:val="Normal"/>
        <w:rPr/>
      </w:pPr>
      <w:r>
        <w:rPr/>
      </w:r>
    </w:p>
    <w:p>
      <w:pPr>
        <w:pStyle w:val="Normal"/>
        <w:rPr>
          <w:lang w:val="en-US"/>
        </w:rPr>
      </w:pPr>
      <w:r>
        <w:rPr>
          <w:lang w:val="en-US"/>
        </w:rPr>
      </w:r>
    </w:p>
    <w:p>
      <w:pPr>
        <w:pStyle w:val="Nagwek5"/>
        <w:jc w:val="center"/>
        <w:rPr>
          <w:rFonts w:cs="Calibri"/>
          <w:i w:val="false"/>
          <w:i w:val="false"/>
          <w:sz w:val="32"/>
          <w:szCs w:val="32"/>
          <w:lang w:val="en-US"/>
        </w:rPr>
      </w:pPr>
      <w:r>
        <w:rPr>
          <w:rFonts w:cs="Calibri"/>
          <w:i w:val="false"/>
          <w:sz w:val="32"/>
          <w:szCs w:val="32"/>
          <w:lang w:val="en-US"/>
        </w:rPr>
        <w:t>BID COVER LETTER</w:t>
      </w:r>
    </w:p>
    <w:p>
      <w:pPr>
        <w:pStyle w:val="Normal"/>
        <w:rPr>
          <w:lang w:val="en-US"/>
        </w:rPr>
      </w:pPr>
      <w:r>
        <w:rPr>
          <w:lang w:val="en-US"/>
        </w:rPr>
      </w:r>
    </w:p>
    <w:p>
      <w:pPr>
        <w:pStyle w:val="Normal"/>
        <w:rPr>
          <w:lang w:val="en-US"/>
        </w:rPr>
      </w:pPr>
      <w:r>
        <w:rPr>
          <w:lang w:val="en-US"/>
        </w:rPr>
      </w:r>
    </w:p>
    <w:p>
      <w:pPr>
        <w:pStyle w:val="Normal"/>
        <w:jc w:val="center"/>
        <w:rPr/>
      </w:pPr>
      <w:r>
        <w:rPr/>
        <w:drawing>
          <wp:inline distT="0" distB="0" distL="0" distR="0">
            <wp:extent cx="3972560" cy="5448300"/>
            <wp:effectExtent l="0" t="0" r="0" b="0"/>
            <wp:docPr id="1"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
                    <pic:cNvPicPr>
                      <a:picLocks noChangeAspect="1" noChangeArrowheads="1"/>
                    </pic:cNvPicPr>
                  </pic:nvPicPr>
                  <pic:blipFill>
                    <a:blip r:embed="rId2"/>
                    <a:stretch>
                      <a:fillRect/>
                    </a:stretch>
                  </pic:blipFill>
                  <pic:spPr bwMode="auto">
                    <a:xfrm>
                      <a:off x="0" y="0"/>
                      <a:ext cx="3972560" cy="5448300"/>
                    </a:xfrm>
                    <a:prstGeom prst="rect">
                      <a:avLst/>
                    </a:prstGeom>
                  </pic:spPr>
                </pic:pic>
              </a:graphicData>
            </a:graphic>
          </wp:inline>
        </w:drawing>
      </w:r>
    </w:p>
    <w:p>
      <w:pPr>
        <w:pStyle w:val="Normal"/>
        <w:rPr>
          <w:lang w:val="en-US"/>
        </w:rPr>
      </w:pPr>
      <w:r>
        <w:rPr>
          <w:lang w:val="en-US"/>
        </w:rPr>
      </w:r>
    </w:p>
    <w:p>
      <w:pPr>
        <w:pStyle w:val="Normal"/>
        <w:rPr>
          <w:lang w:val="en-US"/>
        </w:rPr>
      </w:pPr>
      <w:r>
        <w:rPr>
          <w:lang w:val="en-US"/>
        </w:rPr>
      </w:r>
    </w:p>
    <w:p>
      <w:pPr>
        <w:pStyle w:val="Normal"/>
        <w:jc w:val="center"/>
        <w:rPr>
          <w:rFonts w:ascii="Calibri" w:hAnsi="Calibri" w:cs="Calibri"/>
          <w:b/>
          <w:b/>
          <w:caps/>
          <w:sz w:val="32"/>
          <w:szCs w:val="32"/>
        </w:rPr>
      </w:pPr>
      <w:r>
        <w:rPr>
          <w:rFonts w:cs="Calibri" w:ascii="Calibri" w:hAnsi="Calibri"/>
          <w:b/>
          <w:caps/>
          <w:sz w:val="32"/>
          <w:szCs w:val="32"/>
        </w:rPr>
      </w:r>
    </w:p>
    <w:p>
      <w:pPr>
        <w:pStyle w:val="Normal"/>
        <w:jc w:val="center"/>
        <w:rPr>
          <w:rFonts w:ascii="Calibri" w:hAnsi="Calibri" w:cs="Calibri"/>
          <w:b/>
          <w:b/>
          <w:bCs/>
          <w:caps/>
          <w:sz w:val="32"/>
          <w:szCs w:val="32"/>
        </w:rPr>
      </w:pPr>
      <w:r>
        <w:rPr>
          <w:rFonts w:cs="Calibri" w:ascii="Calibri" w:hAnsi="Calibri"/>
          <w:b/>
          <w:bCs/>
          <w:caps/>
          <w:sz w:val="32"/>
          <w:szCs w:val="32"/>
        </w:rPr>
        <w:t>9</w:t>
      </w:r>
      <w:r>
        <w:rPr>
          <w:rFonts w:cs="Calibri" w:ascii="Calibri" w:hAnsi="Calibri"/>
          <w:b/>
          <w:bCs/>
          <w:caps/>
          <w:sz w:val="32"/>
          <w:szCs w:val="32"/>
          <w:vertAlign w:val="superscript"/>
        </w:rPr>
        <w:t>th</w:t>
      </w:r>
      <w:r>
        <w:rPr>
          <w:rFonts w:cs="Calibri" w:ascii="Calibri" w:hAnsi="Calibri"/>
          <w:b/>
          <w:bCs/>
          <w:caps/>
          <w:sz w:val="32"/>
          <w:szCs w:val="32"/>
        </w:rPr>
        <w:t xml:space="preserve"> of AUGUST 2023</w:t>
      </w:r>
    </w:p>
    <w:p>
      <w:pPr>
        <w:pStyle w:val="Normal"/>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I/We, the undersigned company, hereby offer our services in delivering the works to the 6</w:t>
      </w:r>
      <w:r>
        <w:rPr>
          <w:rFonts w:ascii="Calibri" w:hAnsi="Calibri"/>
          <w:sz w:val="24"/>
          <w:szCs w:val="24"/>
          <w:vertAlign w:val="superscript"/>
        </w:rPr>
        <w:t>th</w:t>
      </w:r>
      <w:r>
        <w:rPr>
          <w:rFonts w:ascii="Calibri" w:hAnsi="Calibri"/>
          <w:sz w:val="24"/>
          <w:szCs w:val="24"/>
        </w:rPr>
        <w:t xml:space="preserve"> floor of the building according to the specification delivered upon the Tender stated below:</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Invitation to participate in a tender procedure for the award of a General Contractor Works Contract dated 9</w:t>
      </w:r>
      <w:r>
        <w:rPr>
          <w:rFonts w:ascii="Calibri" w:hAnsi="Calibri"/>
          <w:sz w:val="24"/>
          <w:szCs w:val="24"/>
          <w:vertAlign w:val="superscript"/>
        </w:rPr>
        <w:t>th</w:t>
      </w:r>
      <w:r>
        <w:rPr>
          <w:rFonts w:ascii="Calibri" w:hAnsi="Calibri"/>
          <w:sz w:val="24"/>
          <w:szCs w:val="24"/>
        </w:rPr>
        <w:t xml:space="preserve"> of August 2023;</w:t>
      </w:r>
    </w:p>
    <w:p>
      <w:pPr>
        <w:pStyle w:val="Normal"/>
        <w:numPr>
          <w:ilvl w:val="0"/>
          <w:numId w:val="1"/>
        </w:numPr>
        <w:jc w:val="both"/>
        <w:rPr>
          <w:rFonts w:ascii="Calibri" w:hAnsi="Calibri"/>
          <w:sz w:val="24"/>
          <w:szCs w:val="24"/>
        </w:rPr>
      </w:pPr>
      <w:r>
        <w:rPr>
          <w:rFonts w:ascii="Calibri" w:hAnsi="Calibri"/>
          <w:sz w:val="24"/>
          <w:szCs w:val="24"/>
        </w:rPr>
        <w:t>Appendix 1:</w:t>
      </w:r>
      <w:r>
        <w:rPr/>
        <w:tab/>
      </w:r>
      <w:r>
        <w:rPr>
          <w:rFonts w:ascii="Calibri" w:hAnsi="Calibri"/>
          <w:sz w:val="24"/>
          <w:szCs w:val="24"/>
        </w:rPr>
        <w:t>Tender design package;</w:t>
      </w:r>
    </w:p>
    <w:p>
      <w:pPr>
        <w:pStyle w:val="Normal"/>
        <w:numPr>
          <w:ilvl w:val="0"/>
          <w:numId w:val="1"/>
        </w:numPr>
        <w:jc w:val="both"/>
        <w:rPr>
          <w:rFonts w:ascii="Calibri" w:hAnsi="Calibri"/>
          <w:sz w:val="24"/>
          <w:szCs w:val="24"/>
        </w:rPr>
      </w:pPr>
      <w:r>
        <w:rPr>
          <w:rFonts w:ascii="Calibri" w:hAnsi="Calibri"/>
          <w:sz w:val="24"/>
          <w:szCs w:val="24"/>
        </w:rPr>
        <w:t xml:space="preserve">Appendix 2: </w:t>
      </w:r>
      <w:r>
        <w:rPr/>
        <w:tab/>
      </w:r>
      <w:r>
        <w:rPr>
          <w:rFonts w:ascii="Calibri" w:hAnsi="Calibri"/>
          <w:sz w:val="24"/>
          <w:szCs w:val="24"/>
        </w:rPr>
        <w:t>Bills of Quantities;</w:t>
      </w:r>
    </w:p>
    <w:p>
      <w:pPr>
        <w:pStyle w:val="Normal"/>
        <w:numPr>
          <w:ilvl w:val="0"/>
          <w:numId w:val="1"/>
        </w:numPr>
        <w:jc w:val="both"/>
        <w:rPr>
          <w:rFonts w:ascii="Calibri" w:hAnsi="Calibri"/>
          <w:sz w:val="24"/>
          <w:szCs w:val="24"/>
        </w:rPr>
      </w:pPr>
      <w:r>
        <w:rPr>
          <w:rFonts w:ascii="Calibri" w:hAnsi="Calibri"/>
          <w:sz w:val="24"/>
          <w:szCs w:val="24"/>
        </w:rPr>
        <w:t>Appendix 3:</w:t>
      </w:r>
      <w:r>
        <w:rPr/>
        <w:tab/>
      </w:r>
      <w:r>
        <w:rPr>
          <w:rFonts w:ascii="Calibri" w:hAnsi="Calibri"/>
          <w:sz w:val="24"/>
          <w:szCs w:val="24"/>
        </w:rPr>
        <w:t>Works contract draft;</w:t>
      </w:r>
    </w:p>
    <w:p>
      <w:pPr>
        <w:pStyle w:val="ListParagraph"/>
        <w:numPr>
          <w:ilvl w:val="0"/>
          <w:numId w:val="1"/>
        </w:numPr>
        <w:rPr>
          <w:rFonts w:ascii="Calibri" w:hAnsi="Calibri"/>
          <w:sz w:val="24"/>
          <w:szCs w:val="24"/>
        </w:rPr>
      </w:pPr>
      <w:r>
        <w:rPr>
          <w:rFonts w:ascii="Calibri" w:hAnsi="Calibri"/>
          <w:sz w:val="24"/>
          <w:szCs w:val="24"/>
        </w:rPr>
        <w:t xml:space="preserve">Appendix 4: </w:t>
      </w:r>
      <w:r>
        <w:rPr/>
        <w:tab/>
      </w:r>
      <w:r>
        <w:rPr>
          <w:rFonts w:ascii="Calibri" w:hAnsi="Calibri"/>
          <w:sz w:val="24"/>
          <w:szCs w:val="24"/>
        </w:rPr>
        <w:t>Financial review form;</w:t>
      </w:r>
    </w:p>
    <w:p>
      <w:pPr>
        <w:pStyle w:val="Normal"/>
        <w:numPr>
          <w:ilvl w:val="0"/>
          <w:numId w:val="1"/>
        </w:numPr>
        <w:jc w:val="both"/>
        <w:rPr>
          <w:rFonts w:ascii="Calibri" w:hAnsi="Calibri"/>
          <w:sz w:val="24"/>
          <w:szCs w:val="24"/>
        </w:rPr>
      </w:pPr>
      <w:r>
        <w:rPr>
          <w:rFonts w:ascii="Calibri" w:hAnsi="Calibri"/>
          <w:sz w:val="24"/>
          <w:szCs w:val="24"/>
        </w:rPr>
        <w:t xml:space="preserve">Appendix 5: </w:t>
      </w:r>
      <w:r>
        <w:rPr/>
        <w:tab/>
      </w:r>
      <w:r>
        <w:rPr>
          <w:rFonts w:ascii="Calibri" w:hAnsi="Calibri"/>
          <w:sz w:val="24"/>
          <w:szCs w:val="24"/>
        </w:rPr>
        <w:t>IFRC General terms and conditions;</w:t>
      </w:r>
    </w:p>
    <w:p>
      <w:pPr>
        <w:pStyle w:val="Normal"/>
        <w:numPr>
          <w:ilvl w:val="0"/>
          <w:numId w:val="1"/>
        </w:numPr>
        <w:jc w:val="both"/>
        <w:rPr>
          <w:rFonts w:ascii="Calibri" w:hAnsi="Calibri"/>
          <w:sz w:val="24"/>
          <w:szCs w:val="24"/>
        </w:rPr>
      </w:pPr>
      <w:r>
        <w:rPr>
          <w:rFonts w:ascii="Calibri" w:hAnsi="Calibri"/>
          <w:sz w:val="24"/>
          <w:szCs w:val="24"/>
        </w:rPr>
        <w:t>Appendix 6:</w:t>
      </w:r>
      <w:r>
        <w:rPr/>
        <w:tab/>
      </w:r>
      <w:r>
        <w:rPr>
          <w:rFonts w:ascii="Calibri" w:hAnsi="Calibri"/>
          <w:sz w:val="24"/>
          <w:szCs w:val="24"/>
        </w:rPr>
        <w:t>PCK Ethical code of conduct;</w:t>
      </w:r>
    </w:p>
    <w:p>
      <w:pPr>
        <w:pStyle w:val="Normal"/>
        <w:numPr>
          <w:ilvl w:val="0"/>
          <w:numId w:val="1"/>
        </w:numPr>
        <w:jc w:val="both"/>
        <w:rPr>
          <w:rFonts w:ascii="Calibri" w:hAnsi="Calibri"/>
          <w:sz w:val="24"/>
          <w:szCs w:val="24"/>
        </w:rPr>
      </w:pPr>
      <w:r>
        <w:rPr>
          <w:rFonts w:ascii="Calibri" w:hAnsi="Calibri"/>
          <w:sz w:val="24"/>
          <w:szCs w:val="24"/>
        </w:rPr>
        <w:t>Appendix 7:     IFRC Code of conduct;</w:t>
      </w:r>
    </w:p>
    <w:p>
      <w:pPr>
        <w:pStyle w:val="Normal"/>
        <w:numPr>
          <w:ilvl w:val="0"/>
          <w:numId w:val="1"/>
        </w:numPr>
        <w:jc w:val="both"/>
        <w:rPr>
          <w:rFonts w:ascii="Calibri" w:hAnsi="Calibri"/>
          <w:sz w:val="24"/>
          <w:szCs w:val="24"/>
        </w:rPr>
      </w:pPr>
      <w:r>
        <w:rPr>
          <w:rFonts w:ascii="Calibri" w:hAnsi="Calibri"/>
          <w:sz w:val="24"/>
          <w:szCs w:val="24"/>
        </w:rPr>
        <w:t>Appendix 8:</w:t>
      </w:r>
      <w:r>
        <w:rPr/>
        <w:tab/>
      </w:r>
      <w:r>
        <w:rPr>
          <w:rFonts w:ascii="Calibri" w:hAnsi="Calibri"/>
          <w:sz w:val="24"/>
          <w:szCs w:val="24"/>
        </w:rPr>
        <w:t>Declaration of undertaking;</w:t>
      </w:r>
    </w:p>
    <w:p>
      <w:pPr>
        <w:pStyle w:val="Normal"/>
        <w:numPr>
          <w:ilvl w:val="0"/>
          <w:numId w:val="1"/>
        </w:numPr>
        <w:jc w:val="both"/>
        <w:rPr>
          <w:rFonts w:ascii="Calibri" w:hAnsi="Calibri"/>
          <w:sz w:val="24"/>
          <w:szCs w:val="24"/>
        </w:rPr>
      </w:pPr>
      <w:r>
        <w:rPr>
          <w:rFonts w:ascii="Calibri" w:hAnsi="Calibri"/>
          <w:sz w:val="24"/>
          <w:szCs w:val="24"/>
        </w:rPr>
        <w:t xml:space="preserve">Appendix 9: </w:t>
      </w:r>
      <w:r>
        <w:rPr/>
        <w:tab/>
      </w:r>
      <w:r>
        <w:rPr>
          <w:rFonts w:ascii="Calibri" w:hAnsi="Calibri"/>
          <w:sz w:val="24"/>
          <w:szCs w:val="24"/>
        </w:rPr>
        <w:t>Bid Cover Letter;</w:t>
      </w:r>
    </w:p>
    <w:p>
      <w:pPr>
        <w:pStyle w:val="Normal"/>
        <w:numPr>
          <w:ilvl w:val="0"/>
          <w:numId w:val="1"/>
        </w:numPr>
        <w:jc w:val="both"/>
        <w:rPr>
          <w:rFonts w:ascii="Calibri" w:hAnsi="Calibri"/>
          <w:sz w:val="24"/>
          <w:szCs w:val="24"/>
        </w:rPr>
      </w:pPr>
      <w:r>
        <w:rPr>
          <w:rFonts w:ascii="Calibri" w:hAnsi="Calibri"/>
          <w:sz w:val="24"/>
          <w:szCs w:val="24"/>
        </w:rPr>
        <w:t>Appendix 10:</w:t>
      </w:r>
      <w:r>
        <w:rPr/>
        <w:tab/>
      </w:r>
      <w:r>
        <w:rPr>
          <w:rFonts w:ascii="Calibri" w:hAnsi="Calibri"/>
          <w:sz w:val="24"/>
          <w:szCs w:val="24"/>
        </w:rPr>
        <w:t>Financial proposal;</w:t>
      </w:r>
    </w:p>
    <w:p>
      <w:pPr>
        <w:pStyle w:val="Normal"/>
        <w:numPr>
          <w:ilvl w:val="0"/>
          <w:numId w:val="1"/>
        </w:numPr>
        <w:jc w:val="both"/>
        <w:rPr>
          <w:rFonts w:ascii="Calibri" w:hAnsi="Calibri"/>
          <w:sz w:val="24"/>
          <w:szCs w:val="24"/>
        </w:rPr>
      </w:pPr>
      <w:r>
        <w:rPr>
          <w:rFonts w:ascii="Calibri" w:hAnsi="Calibri"/>
          <w:sz w:val="24"/>
          <w:szCs w:val="24"/>
        </w:rPr>
        <w:t>Appendix 11:</w:t>
      </w:r>
      <w:r>
        <w:rPr/>
        <w:tab/>
      </w:r>
      <w:r>
        <w:rPr>
          <w:rFonts w:ascii="Calibri" w:hAnsi="Calibri"/>
          <w:sz w:val="24"/>
          <w:szCs w:val="24"/>
        </w:rPr>
        <w:t>Building Permit.</w:t>
      </w:r>
    </w:p>
    <w:p>
      <w:pPr>
        <w:pStyle w:val="Normal"/>
        <w:jc w:val="both"/>
        <w:rPr>
          <w:rFonts w:ascii="Calibri" w:hAnsi="Calibri"/>
          <w:sz w:val="24"/>
          <w:szCs w:val="24"/>
          <w:highlight w:val="yellow"/>
          <w:lang w:val="fr-FR"/>
        </w:rPr>
      </w:pPr>
      <w:r>
        <w:rPr>
          <w:rFonts w:ascii="Calibri" w:hAnsi="Calibri"/>
          <w:sz w:val="24"/>
          <w:szCs w:val="24"/>
          <w:highlight w:val="yellow"/>
          <w:lang w:val="fr-FR"/>
        </w:rPr>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 xml:space="preserve">I/We undertake, if our Tender is accepted, to commence the Services within 10 (ten) working days of receipt of the Client’s order to commence, and to complete and deliver the whole of the Services comprised in the Agreement within the Time for Completion set out in the </w:t>
      </w:r>
      <w:r>
        <w:rPr>
          <w:rFonts w:cs="Calibri" w:ascii="Calibri" w:hAnsi="Calibri" w:asciiTheme="minorAscii" w:cstheme="minorAscii" w:hAnsiTheme="minorAscii"/>
          <w:i/>
          <w:iCs/>
          <w:sz w:val="24"/>
          <w:szCs w:val="24"/>
          <w:lang w:eastAsia="en-US"/>
        </w:rPr>
        <w:t>Invitation to participate in a tender procedure</w:t>
      </w:r>
      <w:r>
        <w:rPr>
          <w:rFonts w:cs="Calibri" w:ascii="Calibri" w:hAnsi="Calibri" w:asciiTheme="minorAscii" w:cstheme="minorAscii" w:hAnsiTheme="minorAscii"/>
          <w:sz w:val="24"/>
          <w:szCs w:val="24"/>
          <w:lang w:eastAsia="en-US"/>
        </w:rPr>
        <w:t>.</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cstheme="minorAscii" w:ascii="Calibri" w:hAnsi="Calibri"/>
          <w:sz w:val="24"/>
          <w:szCs w:val="24"/>
          <w:lang w:eastAsia="en-US"/>
        </w:rPr>
      </w:r>
    </w:p>
    <w:p>
      <w:pPr>
        <w:pStyle w:val="Normal"/>
        <w:tabs>
          <w:tab w:val="clear" w:pos="708"/>
          <w:tab w:val="left" w:pos="360" w:leader="none"/>
        </w:tabs>
        <w:spacing w:lineRule="auto" w:line="276"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The following documents, duly completed by me/us and attached hereto in order (and initialled and signed by me/us), form an integral part of our Tender:</w:t>
      </w:r>
    </w:p>
    <w:p>
      <w:pPr>
        <w:pStyle w:val="ListParagraph"/>
        <w:numPr>
          <w:ilvl w:val="0"/>
          <w:numId w:val="3"/>
        </w:numPr>
        <w:ind w:left="286" w:hanging="286"/>
        <w:rPr>
          <w:rFonts w:ascii="Calibri" w:hAnsi="Calibri"/>
          <w:sz w:val="24"/>
          <w:szCs w:val="24"/>
        </w:rPr>
      </w:pPr>
      <w:r>
        <w:rPr>
          <w:rFonts w:ascii="Calibri" w:hAnsi="Calibri"/>
          <w:sz w:val="24"/>
          <w:szCs w:val="24"/>
        </w:rPr>
        <w:t>Company registration (KRS);</w:t>
      </w:r>
    </w:p>
    <w:p>
      <w:pPr>
        <w:pStyle w:val="ListParagraph"/>
        <w:numPr>
          <w:ilvl w:val="0"/>
          <w:numId w:val="3"/>
        </w:numPr>
        <w:ind w:left="286" w:hanging="286"/>
        <w:rPr>
          <w:rFonts w:ascii="Calibri" w:hAnsi="Calibri"/>
          <w:sz w:val="24"/>
          <w:szCs w:val="24"/>
        </w:rPr>
      </w:pPr>
      <w:r>
        <w:rPr>
          <w:rFonts w:eastAsia="Calibri" w:cs="Calibri" w:ascii="Calibri" w:hAnsi="Calibri"/>
          <w:sz w:val="24"/>
          <w:szCs w:val="24"/>
          <w:lang w:val="en-GB"/>
        </w:rPr>
        <w:t>Document confirming the right to sign the offer, power of attorney (if applicable);</w:t>
      </w:r>
    </w:p>
    <w:p>
      <w:pPr>
        <w:pStyle w:val="ListParagraph"/>
        <w:numPr>
          <w:ilvl w:val="0"/>
          <w:numId w:val="3"/>
        </w:numPr>
        <w:ind w:left="286" w:hanging="286"/>
        <w:rPr>
          <w:rFonts w:ascii="Calibri" w:hAnsi="Calibri"/>
          <w:sz w:val="24"/>
          <w:szCs w:val="24"/>
        </w:rPr>
      </w:pPr>
      <w:r>
        <w:rPr>
          <w:rFonts w:ascii="Calibri" w:hAnsi="Calibri"/>
          <w:sz w:val="24"/>
          <w:szCs w:val="24"/>
        </w:rPr>
        <w:t>Financial statements and latest audit reports (2 years) signed by auditor;</w:t>
      </w:r>
    </w:p>
    <w:p>
      <w:pPr>
        <w:pStyle w:val="ListParagraph"/>
        <w:numPr>
          <w:ilvl w:val="0"/>
          <w:numId w:val="3"/>
        </w:numPr>
        <w:ind w:left="286" w:hanging="286"/>
        <w:rPr>
          <w:rFonts w:ascii="Calibri" w:hAnsi="Calibri"/>
          <w:sz w:val="24"/>
          <w:szCs w:val="24"/>
        </w:rPr>
      </w:pPr>
      <w:r>
        <w:rPr>
          <w:rFonts w:ascii="Calibri" w:hAnsi="Calibri"/>
          <w:sz w:val="24"/>
          <w:szCs w:val="24"/>
        </w:rPr>
        <w:t>Dully filled Supplier Registration (should come from survey stage);</w:t>
      </w:r>
    </w:p>
    <w:p>
      <w:pPr>
        <w:pStyle w:val="ListParagraph"/>
        <w:numPr>
          <w:ilvl w:val="0"/>
          <w:numId w:val="3"/>
        </w:numPr>
        <w:ind w:left="286" w:hanging="286"/>
        <w:rPr>
          <w:rFonts w:ascii="Calibri" w:hAnsi="Calibri"/>
          <w:sz w:val="24"/>
          <w:szCs w:val="24"/>
        </w:rPr>
      </w:pPr>
      <w:r>
        <w:rPr>
          <w:rFonts w:ascii="Calibri" w:hAnsi="Calibri"/>
          <w:sz w:val="24"/>
          <w:szCs w:val="24"/>
        </w:rPr>
        <w:t>Tax and Social Welfare certificates no older than 2 months;</w:t>
      </w:r>
    </w:p>
    <w:p>
      <w:pPr>
        <w:pStyle w:val="ListParagraph"/>
        <w:numPr>
          <w:ilvl w:val="0"/>
          <w:numId w:val="3"/>
        </w:numPr>
        <w:ind w:left="286" w:hanging="286"/>
        <w:rPr>
          <w:rFonts w:ascii="Calibri" w:hAnsi="Calibri"/>
          <w:sz w:val="24"/>
          <w:szCs w:val="24"/>
        </w:rPr>
      </w:pPr>
      <w:r>
        <w:rPr>
          <w:rFonts w:ascii="Calibri" w:hAnsi="Calibri"/>
          <w:sz w:val="24"/>
          <w:szCs w:val="24"/>
        </w:rPr>
        <w:t>Appendix 4: Financial review form;</w:t>
      </w:r>
    </w:p>
    <w:p>
      <w:pPr>
        <w:pStyle w:val="ListParagraph"/>
        <w:numPr>
          <w:ilvl w:val="0"/>
          <w:numId w:val="4"/>
        </w:numPr>
        <w:ind w:left="284" w:hanging="284"/>
        <w:rPr>
          <w:rFonts w:ascii="Calibri" w:hAnsi="Calibri"/>
          <w:sz w:val="24"/>
          <w:szCs w:val="24"/>
        </w:rPr>
      </w:pPr>
      <w:r>
        <w:rPr>
          <w:rFonts w:ascii="Calibri" w:hAnsi="Calibri"/>
          <w:sz w:val="24"/>
          <w:szCs w:val="24"/>
        </w:rPr>
        <w:t>Appendix 5: IFRC General terms and conditions;</w:t>
      </w:r>
    </w:p>
    <w:p>
      <w:pPr>
        <w:pStyle w:val="ListParagraph"/>
        <w:numPr>
          <w:ilvl w:val="0"/>
          <w:numId w:val="4"/>
        </w:numPr>
        <w:ind w:left="284" w:hanging="284"/>
        <w:rPr>
          <w:rFonts w:ascii="Calibri" w:hAnsi="Calibri"/>
          <w:sz w:val="24"/>
          <w:szCs w:val="24"/>
        </w:rPr>
      </w:pPr>
      <w:r>
        <w:rPr>
          <w:rFonts w:ascii="Calibri" w:hAnsi="Calibri"/>
          <w:sz w:val="24"/>
          <w:szCs w:val="24"/>
        </w:rPr>
        <w:t>Appendix 6: PCK Ethical code of conduct</w:t>
      </w:r>
      <w:r>
        <w:rPr>
          <w:rFonts w:eastAsia="Calibri" w:cs="Calibri" w:ascii="Calibri" w:hAnsi="Calibri"/>
          <w:sz w:val="24"/>
          <w:szCs w:val="24"/>
          <w:lang w:val="en-GB"/>
        </w:rPr>
        <w:t xml:space="preserve"> – page 13 only to be delivered signed;</w:t>
      </w:r>
    </w:p>
    <w:p>
      <w:pPr>
        <w:pStyle w:val="ListParagraph"/>
        <w:numPr>
          <w:ilvl w:val="0"/>
          <w:numId w:val="4"/>
        </w:numPr>
        <w:ind w:left="284" w:hanging="284"/>
        <w:rPr>
          <w:rFonts w:ascii="Calibri" w:hAnsi="Calibri"/>
          <w:sz w:val="24"/>
          <w:szCs w:val="24"/>
        </w:rPr>
      </w:pPr>
      <w:r>
        <w:rPr>
          <w:rFonts w:ascii="Calibri" w:hAnsi="Calibri"/>
          <w:sz w:val="24"/>
          <w:szCs w:val="24"/>
        </w:rPr>
        <w:t>Appendix 7: IFRC Code of conduct;</w:t>
      </w:r>
    </w:p>
    <w:p>
      <w:pPr>
        <w:pStyle w:val="ListParagraph"/>
        <w:numPr>
          <w:ilvl w:val="0"/>
          <w:numId w:val="4"/>
        </w:numPr>
        <w:ind w:left="284" w:hanging="284"/>
        <w:rPr>
          <w:rFonts w:ascii="Calibri" w:hAnsi="Calibri"/>
          <w:sz w:val="24"/>
          <w:szCs w:val="24"/>
        </w:rPr>
      </w:pPr>
      <w:r>
        <w:rPr>
          <w:rFonts w:ascii="Calibri" w:hAnsi="Calibri"/>
          <w:sz w:val="24"/>
          <w:szCs w:val="24"/>
        </w:rPr>
        <w:t>Appendix 8: Declaration of undertaking;</w:t>
      </w:r>
    </w:p>
    <w:p>
      <w:pPr>
        <w:pStyle w:val="ListParagraph"/>
        <w:numPr>
          <w:ilvl w:val="0"/>
          <w:numId w:val="4"/>
        </w:numPr>
        <w:ind w:left="284" w:hanging="284"/>
        <w:rPr>
          <w:rFonts w:ascii="Calibri" w:hAnsi="Calibri"/>
          <w:sz w:val="24"/>
          <w:szCs w:val="24"/>
        </w:rPr>
      </w:pPr>
      <w:r>
        <w:rPr>
          <w:rFonts w:ascii="Calibri" w:hAnsi="Calibri"/>
          <w:sz w:val="24"/>
          <w:szCs w:val="24"/>
        </w:rPr>
        <w:t>Detailed references of relevant projects with pictures and contact details to client’s representative;</w:t>
      </w:r>
    </w:p>
    <w:p>
      <w:pPr>
        <w:pStyle w:val="ListParagraph"/>
        <w:numPr>
          <w:ilvl w:val="0"/>
          <w:numId w:val="4"/>
        </w:numPr>
        <w:ind w:left="284" w:hanging="284"/>
        <w:rPr>
          <w:rFonts w:ascii="Calibri" w:hAnsi="Calibri"/>
          <w:sz w:val="24"/>
          <w:szCs w:val="24"/>
        </w:rPr>
      </w:pPr>
      <w:r>
        <w:rPr>
          <w:rFonts w:ascii="Calibri" w:hAnsi="Calibri"/>
          <w:sz w:val="24"/>
          <w:szCs w:val="24"/>
        </w:rPr>
        <w:t>Documents necessary to prove in front of Mazowiecki Wojewódzki Konserwator Zabytków (MWKZ) that the site manager has experience required to run a job in a historical building;</w:t>
      </w:r>
    </w:p>
    <w:p>
      <w:pPr>
        <w:pStyle w:val="ListParagraph"/>
        <w:numPr>
          <w:ilvl w:val="0"/>
          <w:numId w:val="4"/>
        </w:numPr>
        <w:ind w:left="284" w:hanging="284"/>
        <w:rPr>
          <w:rFonts w:ascii="Calibri" w:hAnsi="Calibri"/>
          <w:sz w:val="24"/>
          <w:szCs w:val="24"/>
        </w:rPr>
      </w:pPr>
      <w:r>
        <w:rPr>
          <w:rFonts w:ascii="Calibri" w:hAnsi="Calibri"/>
          <w:sz w:val="24"/>
          <w:szCs w:val="24"/>
        </w:rPr>
        <w:t>A programme of the renovation split by weeks. Assumed starting date – 1</w:t>
      </w:r>
      <w:r>
        <w:rPr>
          <w:rFonts w:ascii="Calibri" w:hAnsi="Calibri"/>
          <w:sz w:val="24"/>
          <w:szCs w:val="24"/>
          <w:vertAlign w:val="superscript"/>
        </w:rPr>
        <w:t>st</w:t>
      </w:r>
      <w:r>
        <w:rPr>
          <w:rFonts w:ascii="Calibri" w:hAnsi="Calibri"/>
          <w:sz w:val="24"/>
          <w:szCs w:val="24"/>
        </w:rPr>
        <w:t xml:space="preserve"> of October 2023. </w:t>
      </w:r>
    </w:p>
    <w:p>
      <w:pPr>
        <w:pStyle w:val="Normal"/>
        <w:tabs>
          <w:tab w:val="clear" w:pos="708"/>
          <w:tab w:val="left" w:pos="360" w:leader="none"/>
        </w:tabs>
        <w:spacing w:before="120" w:after="120"/>
        <w:ind w:left="360" w:hanging="360"/>
        <w:jc w:val="both"/>
        <w:rPr>
          <w:rFonts w:ascii="Calibri" w:hAnsi="Calibri" w:cs="Arial" w:asciiTheme="minorAscii" w:cstheme="minorBidi" w:hAnsiTheme="minorAscii"/>
          <w:sz w:val="24"/>
          <w:szCs w:val="24"/>
          <w:lang w:eastAsia="en-US"/>
        </w:rPr>
      </w:pPr>
      <w:r>
        <w:rPr>
          <w:rFonts w:cs="Arial" w:ascii="Calibri" w:hAnsi="Calibri" w:asciiTheme="minorAscii" w:cstheme="minorBidi" w:hAnsiTheme="minorAscii"/>
          <w:sz w:val="24"/>
          <w:szCs w:val="24"/>
          <w:lang w:eastAsia="en-US"/>
        </w:rPr>
        <w:t>I/We have put</w:t>
      </w:r>
      <w:r>
        <w:rPr>
          <w:rFonts w:ascii="Calibri" w:hAnsi="Calibri"/>
          <w:sz w:val="24"/>
          <w:szCs w:val="24"/>
        </w:rPr>
        <w:t xml:space="preserve"> the Financial proposal (Appendix 10) with price breakdown (filled Bills of Quantities) in a separate envelope as instructed in the </w:t>
      </w:r>
      <w:r>
        <w:rPr>
          <w:rFonts w:cs="Calibri" w:ascii="Calibri" w:hAnsi="Calibri" w:asciiTheme="minorAscii" w:cstheme="minorAscii" w:hAnsiTheme="minorAscii"/>
          <w:i/>
          <w:iCs/>
          <w:sz w:val="24"/>
          <w:szCs w:val="24"/>
          <w:lang w:eastAsia="en-US"/>
        </w:rPr>
        <w:t>Invitation to participate in a tender procedure</w:t>
      </w:r>
      <w:r>
        <w:rPr>
          <w:rFonts w:ascii="Calibri" w:hAnsi="Calibri"/>
          <w:sz w:val="24"/>
          <w:szCs w:val="24"/>
        </w:rPr>
        <w:t xml:space="preserve">. </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If my/our Tender is accepted, I/we will take out and maintain Construction All Risks (CAR) third party insurance and a security, agreed in the Agreement, for the due performance of the Contract.</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I/We agree to abide by this Tender for a period of ninety (90) days from the date indicated as the bid submission deadline and it shall be binding upon us and may be accepted by the Client at any time before the expiration of the above period of ninety (90) days.</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In the event of my/our Tender being accepted and until Agreement is prepared and executed, this Tender, together with your written acceptance thereof, shall constitute a binding obligation upon us.</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I/We understand that the Client has complete discretion as to which Tender to accept and that is not bound to accept the Tender with the lowest price or any Tender.</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ascii="Calibri" w:hAnsi="Calibri" w:asciiTheme="minorAscii" w:cstheme="minorAscii" w:hAnsiTheme="minorAscii"/>
          <w:sz w:val="24"/>
          <w:szCs w:val="24"/>
          <w:lang w:eastAsia="en-US"/>
        </w:rPr>
        <w:t>I/We acknowledge receipt of the following correspondence and Tender addenda and confirm we have taken account thereof in our Tender:</w:t>
      </w:r>
    </w:p>
    <w:p>
      <w:pPr>
        <w:pStyle w:val="Normal"/>
        <w:tabs>
          <w:tab w:val="clear" w:pos="708"/>
          <w:tab w:val="left" w:pos="360" w:leader="none"/>
        </w:tabs>
        <w:spacing w:before="120" w:after="120"/>
        <w:ind w:left="360" w:hanging="360"/>
        <w:jc w:val="both"/>
        <w:rPr>
          <w:rFonts w:ascii="Calibri" w:hAnsi="Calibri" w:cs="Calibri" w:asciiTheme="minorAscii" w:cstheme="minorAscii" w:hAnsiTheme="minorAscii"/>
          <w:sz w:val="24"/>
          <w:szCs w:val="24"/>
          <w:lang w:eastAsia="en-US"/>
        </w:rPr>
      </w:pPr>
      <w:r>
        <w:rPr>
          <w:rFonts w:cs="Calibri" w:cstheme="minorAscii" w:ascii="Calibri" w:hAnsi="Calibri"/>
          <w:sz w:val="24"/>
          <w:szCs w:val="24"/>
          <w:lang w:eastAsia="en-US"/>
        </w:rPr>
      </w:r>
    </w:p>
    <w:p>
      <w:pPr>
        <w:pStyle w:val="Normal"/>
        <w:ind w:left="360" w:hanging="0"/>
        <w:rPr>
          <w:rFonts w:ascii="Calibri" w:hAnsi="Calibri" w:cs="Calibri" w:asciiTheme="minorAscii" w:cstheme="minorAscii" w:hAnsiTheme="minorAscii"/>
          <w:b/>
          <w:b/>
          <w:bCs/>
          <w:sz w:val="24"/>
          <w:szCs w:val="24"/>
        </w:rPr>
      </w:pPr>
      <w:r>
        <w:rPr>
          <w:rFonts w:cs="Calibri" w:ascii="Calibri" w:hAnsi="Calibri" w:asciiTheme="minorAscii" w:cstheme="minorAscii" w:hAnsiTheme="minorAscii"/>
          <w:b/>
          <w:bCs/>
          <w:sz w:val="24"/>
          <w:szCs w:val="24"/>
        </w:rPr>
        <w:t>Tender Addenda:</w:t>
      </w:r>
    </w:p>
    <w:p>
      <w:pPr>
        <w:pStyle w:val="Normal"/>
        <w:numPr>
          <w:ilvl w:val="0"/>
          <w:numId w:val="2"/>
        </w:numPr>
        <w:spacing w:before="120" w:after="120"/>
        <w:ind w:left="720" w:hanging="3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t>
      </w:r>
      <w:r>
        <w:rPr>
          <w:rFonts w:cs="Calibri" w:ascii="Calibri" w:hAnsi="Calibri" w:asciiTheme="minorHAnsi" w:cstheme="minorHAnsi" w:hAnsiTheme="minorHAnsi"/>
          <w:sz w:val="24"/>
          <w:szCs w:val="24"/>
        </w:rPr>
        <w:t>..</w:t>
      </w:r>
    </w:p>
    <w:p>
      <w:pPr>
        <w:pStyle w:val="Normal"/>
        <w:numPr>
          <w:ilvl w:val="0"/>
          <w:numId w:val="2"/>
        </w:numPr>
        <w:spacing w:before="120" w:after="120"/>
        <w:ind w:left="720" w:hanging="3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t>
      </w:r>
      <w:r>
        <w:rPr>
          <w:rFonts w:cs="Calibri" w:ascii="Calibri" w:hAnsi="Calibri" w:asciiTheme="minorHAnsi" w:cstheme="minorHAnsi" w:hAnsiTheme="minorHAnsi"/>
          <w:sz w:val="24"/>
          <w:szCs w:val="24"/>
        </w:rPr>
        <w:t xml:space="preserve">..………… </w:t>
      </w:r>
    </w:p>
    <w:p>
      <w:pPr>
        <w:pStyle w:val="Normal"/>
        <w:numPr>
          <w:ilvl w:val="0"/>
          <w:numId w:val="2"/>
        </w:numPr>
        <w:spacing w:before="120" w:after="120"/>
        <w:ind w:left="720" w:hanging="3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t>
      </w:r>
      <w:r>
        <w:rPr>
          <w:rFonts w:cs="Calibri" w:ascii="Calibri" w:hAnsi="Calibri" w:asciiTheme="minorHAnsi" w:cstheme="minorHAnsi" w:hAnsiTheme="minorHAnsi"/>
          <w:sz w:val="24"/>
          <w:szCs w:val="24"/>
        </w:rPr>
        <w:t>..</w:t>
      </w:r>
    </w:p>
    <w:p>
      <w:pPr>
        <w:pStyle w:val="Normal"/>
        <w:numPr>
          <w:ilvl w:val="0"/>
          <w:numId w:val="2"/>
        </w:numPr>
        <w:spacing w:before="120" w:after="120"/>
        <w:ind w:left="720" w:hanging="3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t>
      </w:r>
      <w:r>
        <w:rPr>
          <w:rFonts w:cs="Calibri" w:ascii="Calibri" w:hAnsi="Calibri" w:asciiTheme="minorHAnsi" w:cstheme="minorHAnsi" w:hAnsiTheme="minorHAnsi"/>
          <w:sz w:val="24"/>
          <w:szCs w:val="24"/>
        </w:rPr>
        <w:t xml:space="preserve">..………… </w:t>
      </w:r>
    </w:p>
    <w:p>
      <w:pPr>
        <w:pStyle w:val="Normal"/>
        <w:numPr>
          <w:ilvl w:val="0"/>
          <w:numId w:val="2"/>
        </w:numPr>
        <w:spacing w:before="120" w:after="120"/>
        <w:ind w:left="720" w:hanging="360"/>
        <w:jc w:val="bot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t>
      </w:r>
      <w:r>
        <w:rPr>
          <w:rFonts w:cs="Calibri" w:ascii="Calibri" w:hAnsi="Calibri" w:asciiTheme="minorHAnsi" w:cstheme="minorHAnsi" w:hAnsiTheme="minorHAnsi"/>
          <w:sz w:val="24"/>
          <w:szCs w:val="24"/>
        </w:rPr>
        <w:t>..</w:t>
      </w:r>
    </w:p>
    <w:p>
      <w:pPr>
        <w:pStyle w:val="Normal"/>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spacing w:lineRule="auto" w:line="360"/>
        <w:jc w:val="both"/>
        <w:rPr>
          <w:rFonts w:ascii="Calibri" w:hAnsi="Calibri"/>
          <w:sz w:val="24"/>
          <w:szCs w:val="24"/>
        </w:rPr>
      </w:pPr>
      <w:r>
        <w:rPr>
          <w:rFonts w:ascii="Calibri" w:hAnsi="Calibri"/>
          <w:sz w:val="24"/>
          <w:szCs w:val="24"/>
        </w:rPr>
        <w:t>Terms not conforming to the tender documents (if any):</w:t>
      </w:r>
    </w:p>
    <w:p>
      <w:pPr>
        <w:pStyle w:val="Normal"/>
        <w:spacing w:lineRule="auto" w:line="360"/>
        <w:jc w:val="both"/>
        <w:rPr>
          <w:rFonts w:ascii="Calibri" w:hAnsi="Calibri"/>
          <w:sz w:val="24"/>
          <w:szCs w:val="24"/>
        </w:rPr>
      </w:pPr>
      <w:r>
        <w:rPr>
          <w:rFonts w:ascii="Calibri" w:hAnsi="Calibri"/>
          <w:sz w:val="24"/>
          <w:szCs w:val="24"/>
        </w:rPr>
        <w:t>…………………………………………………………………………………………………</w:t>
      </w:r>
      <w:r>
        <w:rPr>
          <w:rFonts w:ascii="Calibri" w:hAnsi="Calibri"/>
          <w:sz w:val="24"/>
          <w:szCs w:val="24"/>
        </w:rPr>
        <w:t>.</w:t>
      </w:r>
    </w:p>
    <w:p>
      <w:pPr>
        <w:pStyle w:val="Normal"/>
        <w:spacing w:lineRule="auto" w:line="360"/>
        <w:jc w:val="both"/>
        <w:rPr>
          <w:rFonts w:ascii="Calibri" w:hAnsi="Calibri"/>
          <w:sz w:val="24"/>
          <w:szCs w:val="24"/>
        </w:rPr>
      </w:pPr>
      <w:r>
        <w:rPr>
          <w:rFonts w:ascii="Calibri" w:hAnsi="Calibri"/>
          <w:sz w:val="24"/>
          <w:szCs w:val="24"/>
        </w:rPr>
        <w:t>…………………………………………………………………………………………………</w:t>
      </w:r>
      <w:r>
        <w:rPr>
          <w:rFonts w:ascii="Calibri" w:hAnsi="Calibri"/>
          <w:sz w:val="24"/>
          <w:szCs w:val="24"/>
        </w:rPr>
        <w:t>.</w:t>
      </w:r>
    </w:p>
    <w:p>
      <w:pPr>
        <w:pStyle w:val="Normal"/>
        <w:spacing w:lineRule="auto" w:line="360"/>
        <w:jc w:val="both"/>
        <w:rPr>
          <w:rFonts w:ascii="Calibri" w:hAnsi="Calibri"/>
          <w:sz w:val="24"/>
          <w:szCs w:val="24"/>
        </w:rPr>
      </w:pPr>
      <w:r>
        <w:rPr>
          <w:rFonts w:ascii="Calibri" w:hAnsi="Calibri"/>
          <w:sz w:val="24"/>
          <w:szCs w:val="24"/>
        </w:rPr>
        <w:t>…………………………………………………………………………………………………</w:t>
      </w:r>
      <w:r>
        <w:rPr>
          <w:rFonts w:ascii="Calibri" w:hAnsi="Calibri"/>
          <w:sz w:val="24"/>
          <w:szCs w:val="24"/>
        </w:rPr>
        <w:t>.</w:t>
      </w:r>
    </w:p>
    <w:p>
      <w:pPr>
        <w:pStyle w:val="Normal"/>
        <w:spacing w:lineRule="auto" w:line="360"/>
        <w:jc w:val="both"/>
        <w:rPr>
          <w:rFonts w:ascii="Calibri" w:hAnsi="Calibri"/>
          <w:sz w:val="24"/>
          <w:szCs w:val="24"/>
        </w:rPr>
      </w:pPr>
      <w:r>
        <w:rPr>
          <w:rFonts w:ascii="Calibri" w:hAnsi="Calibri"/>
          <w:sz w:val="24"/>
          <w:szCs w:val="24"/>
        </w:rPr>
        <w:t>…………………………………………………………………………………………………</w:t>
      </w:r>
      <w:r>
        <w:rPr>
          <w:rFonts w:ascii="Calibri" w:hAnsi="Calibri"/>
          <w:sz w:val="24"/>
          <w:szCs w:val="24"/>
        </w:rPr>
        <w:t>.</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 xml:space="preserve">Non-conforming terms shall only apply if specified under this item. </w:t>
      </w:r>
    </w:p>
    <w:p>
      <w:pPr>
        <w:pStyle w:val="Normal"/>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Name of Company/Organization:</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Date:</w:t>
      </w:r>
      <w:r>
        <w:rPr/>
        <w:tab/>
        <w:tab/>
        <w:tab/>
        <w:tab/>
      </w:r>
      <w:r>
        <w:rPr>
          <w:rFonts w:ascii="Calibri" w:hAnsi="Calibri"/>
          <w:sz w:val="24"/>
          <w:szCs w:val="24"/>
        </w:rPr>
        <w:t>Signature:</w:t>
      </w:r>
    </w:p>
    <w:p>
      <w:pPr>
        <w:pStyle w:val="Normal"/>
        <w:jc w:val="both"/>
        <w:rPr>
          <w:rFonts w:ascii="Calibri" w:hAnsi="Calibri"/>
          <w:sz w:val="24"/>
          <w:szCs w:val="24"/>
        </w:rPr>
      </w:pPr>
      <w:r>
        <w:rPr>
          <w:rFonts w:ascii="Calibri" w:hAnsi="Calibri"/>
          <w:sz w:val="24"/>
          <w:szCs w:val="24"/>
        </w:rPr>
      </w:r>
    </w:p>
    <w:p>
      <w:pPr>
        <w:pStyle w:val="Normal"/>
        <w:jc w:val="both"/>
        <w:rPr>
          <w:rFonts w:ascii="Calibri" w:hAnsi="Calibri"/>
          <w:sz w:val="24"/>
          <w:szCs w:val="24"/>
        </w:rPr>
      </w:pPr>
      <w:r>
        <w:rPr>
          <w:rFonts w:ascii="Calibri" w:hAnsi="Calibri"/>
          <w:sz w:val="24"/>
          <w:szCs w:val="24"/>
        </w:rPr>
        <w:t>……………………………………</w:t>
      </w:r>
      <w:r>
        <w:rPr>
          <w:rFonts w:ascii="Calibri" w:hAnsi="Calibri"/>
          <w:sz w:val="24"/>
          <w:szCs w:val="24"/>
        </w:rPr>
        <w:t>.        …………………………………………………..</w:t>
      </w:r>
    </w:p>
    <w:p>
      <w:pPr>
        <w:pStyle w:val="Normal"/>
        <w:jc w:val="both"/>
        <w:rPr>
          <w:rFonts w:ascii="Calibri" w:hAnsi="Calibri"/>
          <w:sz w:val="24"/>
          <w:szCs w:val="24"/>
        </w:rPr>
      </w:pPr>
      <w:r>
        <w:rPr>
          <w:rFonts w:ascii="Calibri" w:hAnsi="Calibri"/>
          <w:sz w:val="24"/>
          <w:szCs w:val="24"/>
        </w:rPr>
      </w:r>
    </w:p>
    <w:p>
      <w:pPr>
        <w:pStyle w:val="Normal"/>
        <w:rPr>
          <w:rFonts w:ascii="Calibri" w:hAnsi="Calibri"/>
          <w:sz w:val="24"/>
          <w:szCs w:val="24"/>
        </w:rPr>
      </w:pPr>
      <w:r>
        <w:rPr>
          <w:rFonts w:ascii="Calibri" w:hAnsi="Calibri"/>
          <w:sz w:val="24"/>
          <w:szCs w:val="24"/>
        </w:rPr>
      </w:r>
    </w:p>
    <w:p>
      <w:pPr>
        <w:pStyle w:val="Normal"/>
        <w:rPr>
          <w:rFonts w:ascii="Calibri" w:hAnsi="Calibri" w:eastAsia="Calibri" w:cs="Calibri"/>
          <w:b w:val="false"/>
          <w:b w:val="false"/>
          <w:bCs w:val="false"/>
          <w:i w:val="false"/>
          <w:i w:val="false"/>
          <w:iCs w:val="false"/>
          <w:sz w:val="24"/>
          <w:szCs w:val="24"/>
          <w:lang w:val="en-GB"/>
        </w:rPr>
      </w:pPr>
      <w:r>
        <w:rPr>
          <w:rFonts w:eastAsia="Calibri" w:cs="Calibri" w:ascii="Calibri" w:hAnsi="Calibri"/>
          <w:b w:val="false"/>
          <w:bCs w:val="false"/>
          <w:i w:val="false"/>
          <w:iCs w:val="false"/>
          <w:sz w:val="24"/>
          <w:szCs w:val="24"/>
          <w:lang w:val="en-GB"/>
        </w:rPr>
        <w:t>All prices, including unit prices, cover the payment of all secondary services and administrative expenses (and any other duties) and are specified indicating the price excluding VAT and the price with VAT included.</w:t>
      </w:r>
    </w:p>
    <w:p>
      <w:pPr>
        <w:pStyle w:val="Normal"/>
        <w:rPr>
          <w:rFonts w:ascii="Calibri" w:hAnsi="Calibri"/>
          <w:sz w:val="24"/>
          <w:szCs w:val="24"/>
        </w:rPr>
      </w:pPr>
      <w:r>
        <w:rPr>
          <w:rFonts w:ascii="Calibri" w:hAnsi="Calibri"/>
          <w:sz w:val="24"/>
          <w:szCs w:val="24"/>
        </w:rPr>
      </w:r>
    </w:p>
    <w:p>
      <w:pPr>
        <w:pStyle w:val="Normal"/>
        <w:rPr>
          <w:rFonts w:ascii="Calibri" w:hAnsi="Calibri"/>
          <w:sz w:val="24"/>
          <w:szCs w:val="24"/>
        </w:rPr>
      </w:pPr>
      <w:r>
        <w:rPr/>
      </w:r>
    </w:p>
    <w:sectPr>
      <w:headerReference w:type="default" r:id="rId3"/>
      <w:footerReference w:type="even" r:id="rId4"/>
      <w:footerReference w:type="default" r:id="rId5"/>
      <w:footerReference w:type="first" r:id="rId6"/>
      <w:type w:val="nextPage"/>
      <w:pgSz w:w="11906" w:h="16838"/>
      <w:pgMar w:left="1417" w:right="1417" w:gutter="0" w:header="708" w:top="1560" w:footer="708" w:bottom="1417"/>
      <w:pgNumType w:fmt="decimal"/>
      <w:formProt w:val="false"/>
      <w:textDirection w:val="lrTb"/>
      <w:docGrid w:type="default" w:linePitch="10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libri">
    <w:charset w:val="ee"/>
    <w:family w:val="roman"/>
    <w:pitch w:val="variable"/>
  </w:font>
  <w:font w:name="Century Schoolbook">
    <w:charset w:val="ee"/>
    <w:family w:val="roman"/>
    <w:pitch w:val="variable"/>
  </w:font>
  <w:font w:name="Tahoma">
    <w:charset w:val="ee"/>
    <w:family w:val="roman"/>
    <w:pitch w:val="variable"/>
  </w:font>
  <w:font w:name="Arial">
    <w:charset w:val="ee"/>
    <w:family w:val="roman"/>
    <w:pitch w:val="variable"/>
  </w:font>
  <w:font w:name="Liberation Sans">
    <w:altName w:val="Arial"/>
    <w:charset w:val="ee"/>
    <w:family w:val="roman"/>
    <w:pitch w:val="variable"/>
  </w:font>
  <w:font w:name="Arial Narrow">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ind w:right="360" w:hanging="0"/>
      <w:rPr/>
    </w:pPr>
    <w:r>
      <w:rPr/>
      <mc:AlternateContent>
        <mc:Choice Requires="wps">
          <w:drawing>
            <wp:anchor behindDoc="0" distT="0" distB="0" distL="0" distR="0" simplePos="0" locked="0" layoutInCell="0" allowOverlap="1" relativeHeight="15" wp14:anchorId="14372D19">
              <wp:simplePos x="0" y="0"/>
              <wp:positionH relativeFrom="margin">
                <wp:align>right</wp:align>
              </wp:positionH>
              <wp:positionV relativeFrom="paragraph">
                <wp:posOffset>635</wp:posOffset>
              </wp:positionV>
              <wp:extent cx="15875" cy="15875"/>
              <wp:effectExtent l="0" t="0" r="0" b="0"/>
              <wp:wrapSquare wrapText="bothSides"/>
              <wp:docPr id="3" name="Pole tekstowe 3"/>
              <a:graphic xmlns:a="http://schemas.openxmlformats.org/drawingml/2006/main">
                <a:graphicData uri="http://schemas.microsoft.com/office/word/2010/wordprocessingShape">
                  <wps:wsp>
                    <wps:cNvSpPr/>
                    <wps:spPr>
                      <a:xfrm>
                        <a:off x="0" y="0"/>
                        <a:ext cx="15120" cy="15120"/>
                      </a:xfrm>
                      <a:prstGeom prst="rect">
                        <a:avLst/>
                      </a:prstGeom>
                      <a:noFill/>
                      <a:ln w="0">
                        <a:noFill/>
                      </a:ln>
                    </wps:spPr>
                    <wps:style>
                      <a:lnRef idx="0"/>
                      <a:fillRef idx="0"/>
                      <a:effectRef idx="0"/>
                      <a:fontRef idx="minor"/>
                    </wps:style>
                    <wps:txbx>
                      <w:txbxContent>
                        <w:p>
                          <w:pPr>
                            <w:pStyle w:val="Stopk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Pole tekstowe 3" path="m0,0l-2147483645,0l-2147483645,-2147483646l0,-2147483646xe" stroked="f" o:allowincell="f" style="position:absolute;margin-left:0pt;margin-top:0.05pt;width:1.15pt;height:1.15pt;mso-wrap-style:square;v-text-anchor:top;mso-position-horizontal:right;mso-position-horizontal-relative:margin" wp14:anchorId="14372D19">
              <v:fill o:detectmouseclick="t" on="false"/>
              <v:stroke color="#3465a4" joinstyle="round" endcap="flat"/>
              <v:textbox>
                <w:txbxContent>
                  <w:p>
                    <w:pPr>
                      <w:pStyle w:val="Stopk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ind w:right="360" w:hanging="0"/>
      <w:rPr/>
    </w:pPr>
    <w:r>
      <w:rPr/>
      <mc:AlternateContent>
        <mc:Choice Requires="wps">
          <w:drawing>
            <wp:anchor behindDoc="0" distT="0" distB="0" distL="0" distR="0" simplePos="0" locked="0" layoutInCell="0" allowOverlap="1" relativeHeight="13" wp14:anchorId="0E316E88">
              <wp:simplePos x="0" y="0"/>
              <wp:positionH relativeFrom="margin">
                <wp:align>right</wp:align>
              </wp:positionH>
              <wp:positionV relativeFrom="paragraph">
                <wp:posOffset>635</wp:posOffset>
              </wp:positionV>
              <wp:extent cx="65405" cy="146050"/>
              <wp:effectExtent l="0" t="0" r="0" b="0"/>
              <wp:wrapSquare wrapText="bothSides"/>
              <wp:docPr id="5" name="Pole tekstowe 4"/>
              <a:graphic xmlns:a="http://schemas.openxmlformats.org/drawingml/2006/main">
                <a:graphicData uri="http://schemas.microsoft.com/office/word/2010/wordprocessingShape">
                  <wps:wsp>
                    <wps:cNvSpPr/>
                    <wps:spPr>
                      <a:xfrm>
                        <a:off x="0" y="0"/>
                        <a:ext cx="64800" cy="145440"/>
                      </a:xfrm>
                      <a:prstGeom prst="rect">
                        <a:avLst/>
                      </a:prstGeom>
                      <a:noFill/>
                      <a:ln w="0">
                        <a:noFill/>
                      </a:ln>
                    </wps:spPr>
                    <wps:style>
                      <a:lnRef idx="0"/>
                      <a:fillRef idx="0"/>
                      <a:effectRef idx="0"/>
                      <a:fontRef idx="minor"/>
                    </wps:style>
                    <wps:txbx>
                      <w:txbxContent>
                        <w:p>
                          <w:pPr>
                            <w:pStyle w:val="Stopk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w:t>
                          </w:r>
                          <w:r>
                            <w:rPr>
                              <w:rStyle w:val="Pagenumber"/>
                              <w:color w:val="000000"/>
                            </w:rPr>
                            <w:fldChar w:fldCharType="end"/>
                          </w:r>
                        </w:p>
                      </w:txbxContent>
                    </wps:txbx>
                    <wps:bodyPr lIns="0" rIns="0" tIns="0" bIns="0" anchor="t">
                      <a:spAutoFit/>
                    </wps:bodyPr>
                  </wps:wsp>
                </a:graphicData>
              </a:graphic>
            </wp:anchor>
          </w:drawing>
        </mc:Choice>
        <mc:Fallback>
          <w:pict>
            <v:rect id="shape_0" ID="Pole tekstowe 4" path="m0,0l-2147483645,0l-2147483645,-2147483646l0,-2147483646xe" stroked="f" o:allowincell="f" style="position:absolute;margin-left:448.45pt;margin-top:0.05pt;width:5.05pt;height:11.4pt;mso-wrap-style:square;v-text-anchor:top;mso-position-horizontal:right;mso-position-horizontal-relative:margin" wp14:anchorId="0E316E88">
              <v:fill o:detectmouseclick="t" on="false"/>
              <v:stroke color="#3465a4" joinstyle="round" endcap="flat"/>
              <v:textbox>
                <w:txbxContent>
                  <w:p>
                    <w:pPr>
                      <w:pStyle w:val="Stopk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ind w:right="360" w:hanging="0"/>
      <w:rPr/>
    </w:pPr>
    <w:r>
      <w:rPr/>
      <mc:AlternateContent>
        <mc:Choice Requires="wps">
          <w:drawing>
            <wp:anchor behindDoc="0" distT="0" distB="0" distL="0" distR="0" simplePos="0" locked="0" layoutInCell="0" allowOverlap="1" relativeHeight="13" wp14:anchorId="0E316E88">
              <wp:simplePos x="0" y="0"/>
              <wp:positionH relativeFrom="margin">
                <wp:align>right</wp:align>
              </wp:positionH>
              <wp:positionV relativeFrom="paragraph">
                <wp:posOffset>635</wp:posOffset>
              </wp:positionV>
              <wp:extent cx="65405" cy="146050"/>
              <wp:effectExtent l="0" t="0" r="0" b="0"/>
              <wp:wrapSquare wrapText="bothSides"/>
              <wp:docPr id="7" name="Pole tekstowe 4"/>
              <a:graphic xmlns:a="http://schemas.openxmlformats.org/drawingml/2006/main">
                <a:graphicData uri="http://schemas.microsoft.com/office/word/2010/wordprocessingShape">
                  <wps:wsp>
                    <wps:cNvSpPr/>
                    <wps:spPr>
                      <a:xfrm>
                        <a:off x="0" y="0"/>
                        <a:ext cx="64800" cy="145440"/>
                      </a:xfrm>
                      <a:prstGeom prst="rect">
                        <a:avLst/>
                      </a:prstGeom>
                      <a:noFill/>
                      <a:ln w="0">
                        <a:noFill/>
                      </a:ln>
                    </wps:spPr>
                    <wps:style>
                      <a:lnRef idx="0"/>
                      <a:fillRef idx="0"/>
                      <a:effectRef idx="0"/>
                      <a:fontRef idx="minor"/>
                    </wps:style>
                    <wps:txbx>
                      <w:txbxContent>
                        <w:p>
                          <w:pPr>
                            <w:pStyle w:val="Stopk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w:t>
                          </w:r>
                          <w:r>
                            <w:rPr>
                              <w:rStyle w:val="Pagenumber"/>
                              <w:color w:val="000000"/>
                            </w:rPr>
                            <w:fldChar w:fldCharType="end"/>
                          </w:r>
                        </w:p>
                      </w:txbxContent>
                    </wps:txbx>
                    <wps:bodyPr lIns="0" rIns="0" tIns="0" bIns="0" anchor="t">
                      <a:spAutoFit/>
                    </wps:bodyPr>
                  </wps:wsp>
                </a:graphicData>
              </a:graphic>
            </wp:anchor>
          </w:drawing>
        </mc:Choice>
        <mc:Fallback>
          <w:pict>
            <v:rect id="shape_0" ID="Pole tekstowe 4" path="m0,0l-2147483645,0l-2147483645,-2147483646l0,-2147483646xe" stroked="f" o:allowincell="f" style="position:absolute;margin-left:448.45pt;margin-top:0.05pt;width:5.05pt;height:11.4pt;mso-wrap-style:square;v-text-anchor:top;mso-position-horizontal:right;mso-position-horizontal-relative:margin" wp14:anchorId="0E316E88">
              <v:fill o:detectmouseclick="t" on="false"/>
              <v:stroke color="#3465a4" joinstyle="round" endcap="flat"/>
              <v:textbox>
                <w:txbxContent>
                  <w:p>
                    <w:pPr>
                      <w:pStyle w:val="Stopka"/>
                      <w:rPr>
                        <w:rStyle w:val="Pagenumber"/>
                      </w:rPr>
                    </w:pPr>
                    <w:r>
                      <w:rPr>
                        <w:rStyle w:val="Pagenumber"/>
                        <w:color w:val="000000"/>
                      </w:rPr>
                      <w:fldChar w:fldCharType="begin"/>
                    </w:r>
                    <w:r>
                      <w:rPr>
                        <w:rStyle w:val="Pagenumber"/>
                        <w:color w:val="000000"/>
                      </w:rPr>
                      <w:instrText> PAGE </w:instrText>
                    </w:r>
                    <w:r>
                      <w:rPr>
                        <w:rStyle w:val="Pagenumber"/>
                        <w:color w:val="000000"/>
                      </w:rPr>
                      <w:fldChar w:fldCharType="separate"/>
                    </w:r>
                    <w:r>
                      <w:rPr>
                        <w:rStyle w:val="Pagenumber"/>
                        <w:color w:val="000000"/>
                      </w:rPr>
                      <w:t>4</w:t>
                    </w:r>
                    <w:r>
                      <w:rPr>
                        <w:rStyle w:val="Pagenumber"/>
                        <w:color w:val="000000"/>
                      </w:rPr>
                      <w:fldChar w:fldCharType="end"/>
                    </w:r>
                  </w:p>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tabs>
        <w:tab w:val="clear" w:pos="4252"/>
        <w:tab w:val="center" w:pos="7938" w:leader="none"/>
        <w:tab w:val="right" w:pos="8504" w:leader="none"/>
      </w:tabs>
      <w:jc w:val="right"/>
      <w:rPr>
        <w:lang w:val="en-US"/>
      </w:rPr>
    </w:pPr>
    <w:r>
      <w:drawing>
        <wp:anchor behindDoc="1" distT="0" distB="0" distL="0" distR="0" simplePos="0" locked="0" layoutInCell="0" allowOverlap="1" relativeHeight="5">
          <wp:simplePos x="0" y="0"/>
          <wp:positionH relativeFrom="margin">
            <wp:posOffset>9525</wp:posOffset>
          </wp:positionH>
          <wp:positionV relativeFrom="paragraph">
            <wp:posOffset>-295910</wp:posOffset>
          </wp:positionV>
          <wp:extent cx="1353185" cy="701040"/>
          <wp:effectExtent l="0" t="0" r="0" b="0"/>
          <wp:wrapNone/>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
                  <a:srcRect l="0" t="0" r="49724" b="0"/>
                  <a:stretch>
                    <a:fillRect/>
                  </a:stretch>
                </pic:blipFill>
                <pic:spPr bwMode="auto">
                  <a:xfrm>
                    <a:off x="0" y="0"/>
                    <a:ext cx="1353185" cy="701040"/>
                  </a:xfrm>
                  <a:prstGeom prst="rect">
                    <a:avLst/>
                  </a:prstGeom>
                </pic:spPr>
              </pic:pic>
            </a:graphicData>
          </a:graphic>
        </wp:anchor>
      </w:drawing>
    </w:r>
    <w:r>
      <w:rPr>
        <w:rFonts w:ascii="Arial Narrow" w:hAnsi="Arial Narrow"/>
        <w:b w:val="false"/>
        <w:sz w:val="20"/>
        <w:lang w:val="en-US"/>
      </w:rPr>
      <w:tab/>
    </w:r>
    <w:r>
      <w:rPr>
        <w:rFonts w:ascii="Arial Narrow" w:hAnsi="Arial Narrow"/>
        <w:sz w:val="28"/>
        <w:lang w:val="en-US"/>
      </w:rPr>
      <w:t>Appendix 9</w:t>
    </w:r>
    <w:r>
      <w:rPr>
        <w:lang w:val="en-US"/>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05"/>
        </w:tabs>
        <w:ind w:left="705" w:hanging="70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l-PL"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nb-NO" w:eastAsia="nb-NO"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733d5"/>
    <w:pPr>
      <w:widowControl/>
      <w:suppressAutoHyphens w:val="true"/>
      <w:bidi w:val="0"/>
      <w:spacing w:before="0" w:after="0"/>
      <w:jc w:val="left"/>
    </w:pPr>
    <w:rPr>
      <w:rFonts w:ascii="Times New Roman" w:hAnsi="Times New Roman" w:eastAsia="Times New Roman" w:cs="Times New Roman"/>
      <w:color w:val="auto"/>
      <w:kern w:val="0"/>
      <w:sz w:val="20"/>
      <w:szCs w:val="20"/>
      <w:lang w:val="en-GB" w:eastAsia="nb-NO" w:bidi="ar-SA"/>
    </w:rPr>
  </w:style>
  <w:style w:type="paragraph" w:styleId="Nagwek1">
    <w:name w:val="Heading 1"/>
    <w:basedOn w:val="Normal"/>
    <w:next w:val="Normal"/>
    <w:qFormat/>
    <w:rsid w:val="00d733d5"/>
    <w:pPr>
      <w:keepNext w:val="true"/>
      <w:jc w:val="center"/>
      <w:outlineLvl w:val="0"/>
    </w:pPr>
    <w:rPr>
      <w:b/>
      <w:sz w:val="28"/>
    </w:rPr>
  </w:style>
  <w:style w:type="paragraph" w:styleId="Nagwek2">
    <w:name w:val="Heading 2"/>
    <w:basedOn w:val="Normal"/>
    <w:next w:val="Normal"/>
    <w:qFormat/>
    <w:rsid w:val="00d733d5"/>
    <w:pPr>
      <w:keepNext w:val="true"/>
      <w:jc w:val="center"/>
      <w:outlineLvl w:val="1"/>
    </w:pPr>
    <w:rPr>
      <w:b/>
      <w:sz w:val="24"/>
    </w:rPr>
  </w:style>
  <w:style w:type="paragraph" w:styleId="Nagwek3">
    <w:name w:val="Heading 3"/>
    <w:basedOn w:val="Normal"/>
    <w:next w:val="Normal"/>
    <w:qFormat/>
    <w:rsid w:val="00d733d5"/>
    <w:pPr>
      <w:keepNext w:val="true"/>
      <w:outlineLvl w:val="2"/>
    </w:pPr>
    <w:rPr>
      <w:sz w:val="24"/>
    </w:rPr>
  </w:style>
  <w:style w:type="paragraph" w:styleId="Nagwek5">
    <w:name w:val="Heading 5"/>
    <w:basedOn w:val="Normal"/>
    <w:next w:val="Normal"/>
    <w:link w:val="Nagwek5Znak"/>
    <w:uiPriority w:val="9"/>
    <w:semiHidden/>
    <w:unhideWhenUsed/>
    <w:qFormat/>
    <w:rsid w:val="009f3d8a"/>
    <w:pPr>
      <w:spacing w:before="240" w:after="60"/>
      <w:outlineLvl w:val="4"/>
    </w:pPr>
    <w:rPr>
      <w:rFonts w:ascii="Calibri" w:hAnsi="Calibri"/>
      <w:b/>
      <w:bCs/>
      <w:i/>
      <w:i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semiHidden/>
    <w:qFormat/>
    <w:rsid w:val="00d733d5"/>
    <w:rPr/>
  </w:style>
  <w:style w:type="character" w:styleId="NagwekZnak" w:customStyle="1">
    <w:name w:val="Nagłówek Znak"/>
    <w:link w:val="Nagwek"/>
    <w:semiHidden/>
    <w:qFormat/>
    <w:rsid w:val="007338cb"/>
    <w:rPr>
      <w:rFonts w:ascii="Century Schoolbook" w:hAnsi="Century Schoolbook"/>
      <w:b/>
      <w:sz w:val="24"/>
    </w:rPr>
  </w:style>
  <w:style w:type="character" w:styleId="TekstdymkaZnak" w:customStyle="1">
    <w:name w:val="Tekst dymka Znak"/>
    <w:link w:val="Tekstdymka"/>
    <w:uiPriority w:val="99"/>
    <w:semiHidden/>
    <w:qFormat/>
    <w:rsid w:val="00f9368d"/>
    <w:rPr>
      <w:rFonts w:ascii="Tahoma" w:hAnsi="Tahoma" w:cs="Tahoma"/>
      <w:sz w:val="16"/>
      <w:szCs w:val="16"/>
      <w:lang w:val="en-GB"/>
    </w:rPr>
  </w:style>
  <w:style w:type="character" w:styleId="Hps" w:customStyle="1">
    <w:name w:val="hps"/>
    <w:qFormat/>
    <w:rsid w:val="006517cb"/>
    <w:rPr/>
  </w:style>
  <w:style w:type="character" w:styleId="Nagwek5Znak" w:customStyle="1">
    <w:name w:val="Nagłówek 5 Znak"/>
    <w:link w:val="Nagwek5"/>
    <w:uiPriority w:val="9"/>
    <w:semiHidden/>
    <w:qFormat/>
    <w:rsid w:val="009f3d8a"/>
    <w:rPr>
      <w:rFonts w:ascii="Calibri" w:hAnsi="Calibri" w:eastAsia="Times New Roman" w:cs="Times New Roman"/>
      <w:b/>
      <w:bCs/>
      <w:i/>
      <w:iCs/>
      <w:sz w:val="26"/>
      <w:szCs w:val="26"/>
      <w:lang w:val="en-GB"/>
    </w:rPr>
  </w:style>
  <w:style w:type="character" w:styleId="ZwykytekstZnak" w:customStyle="1">
    <w:name w:val="Zwykły tekst Znak"/>
    <w:link w:val="Zwykytekst"/>
    <w:uiPriority w:val="99"/>
    <w:semiHidden/>
    <w:qFormat/>
    <w:rsid w:val="000033ad"/>
    <w:rPr>
      <w:rFonts w:ascii="Arial" w:hAnsi="Arial" w:eastAsia="Calibri"/>
      <w:color w:val="232F3A"/>
      <w:sz w:val="22"/>
      <w:szCs w:val="21"/>
      <w:lang w:eastAsia="en-US"/>
    </w:rPr>
  </w:style>
  <w:style w:type="character" w:styleId="TekstpodstawowyZnak" w:customStyle="1">
    <w:name w:val="Tekst podstawowy Znak"/>
    <w:link w:val="Tekstpodstawowy"/>
    <w:semiHidden/>
    <w:qFormat/>
    <w:rsid w:val="00437032"/>
    <w:rPr>
      <w:sz w:val="24"/>
      <w:lang w:val="en-GB"/>
    </w:rPr>
  </w:style>
  <w:style w:type="character" w:styleId="Annotationreference">
    <w:name w:val="annotation reference"/>
    <w:uiPriority w:val="99"/>
    <w:semiHidden/>
    <w:unhideWhenUsed/>
    <w:qFormat/>
    <w:rsid w:val="00455b76"/>
    <w:rPr>
      <w:sz w:val="16"/>
      <w:szCs w:val="16"/>
    </w:rPr>
  </w:style>
  <w:style w:type="character" w:styleId="TekstkomentarzaZnak" w:customStyle="1">
    <w:name w:val="Tekst komentarza Znak"/>
    <w:link w:val="Tekstkomentarza"/>
    <w:uiPriority w:val="99"/>
    <w:qFormat/>
    <w:rsid w:val="00455b76"/>
    <w:rPr>
      <w:lang w:val="en-GB"/>
    </w:rPr>
  </w:style>
  <w:style w:type="character" w:styleId="TematkomentarzaZnak" w:customStyle="1">
    <w:name w:val="Temat komentarza Znak"/>
    <w:link w:val="Tematkomentarza"/>
    <w:uiPriority w:val="99"/>
    <w:semiHidden/>
    <w:qFormat/>
    <w:rsid w:val="00455b76"/>
    <w:rPr>
      <w:b/>
      <w:bCs/>
      <w:lang w:val="en-GB"/>
    </w:rPr>
  </w:style>
  <w:style w:type="character" w:styleId="Tlidtranslation" w:customStyle="1">
    <w:name w:val="tlid-translation"/>
    <w:qFormat/>
    <w:rsid w:val="00d31ba9"/>
    <w:rPr/>
  </w:style>
  <w:style w:type="character" w:styleId="TekstprzypisudolnegoZnak" w:customStyle="1">
    <w:name w:val="Tekst przypisu dolnego Znak"/>
    <w:basedOn w:val="DefaultParagraphFont"/>
    <w:link w:val="Tekstprzypisudolnego"/>
    <w:uiPriority w:val="99"/>
    <w:semiHidden/>
    <w:qFormat/>
    <w:rsid w:val="005316a0"/>
    <w:rPr>
      <w:lang w:val="en-GB"/>
    </w:rPr>
  </w:style>
  <w:style w:type="character" w:styleId="Zakotwiczenieprzypisudolnego" w:customStyle="1">
    <w:name w:val="Zakotwiczenie przypisu dolnego"/>
    <w:rPr>
      <w:vertAlign w:val="superscript"/>
    </w:rPr>
  </w:style>
  <w:style w:type="character" w:styleId="FootnoteCharacters" w:customStyle="1">
    <w:name w:val="Footnote Characters"/>
    <w:basedOn w:val="DefaultParagraphFont"/>
    <w:qFormat/>
    <w:rsid w:val="005316a0"/>
    <w:rPr>
      <w:vertAlign w:val="superscript"/>
    </w:rPr>
  </w:style>
  <w:style w:type="character" w:styleId="Czeinternetowe" w:customStyle="1">
    <w:name w:val="Łącze internetowe"/>
    <w:basedOn w:val="DefaultParagraphFont"/>
    <w:uiPriority w:val="99"/>
    <w:unhideWhenUsed/>
    <w:rsid w:val="00f966db"/>
    <w:rPr>
      <w:color w:val="0563C1" w:themeColor="hyperlink"/>
      <w:u w:val="single"/>
    </w:rPr>
  </w:style>
  <w:style w:type="character" w:styleId="UnresolvedMention">
    <w:name w:val="Unresolved Mention"/>
    <w:basedOn w:val="DefaultParagraphFont"/>
    <w:uiPriority w:val="99"/>
    <w:semiHidden/>
    <w:unhideWhenUsed/>
    <w:qFormat/>
    <w:rsid w:val="00f966db"/>
    <w:rPr>
      <w:color w:val="605E5C"/>
      <w:shd w:fill="E1DFDD" w:val="clear"/>
    </w:rPr>
  </w:style>
  <w:style w:type="character" w:styleId="Numeracjawierszy" w:customStyle="1">
    <w:name w:val="Numeracja wierszy"/>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link w:val="TekstpodstawowyZnak"/>
    <w:semiHidden/>
    <w:rsid w:val="00d733d5"/>
    <w:pPr/>
    <w:rPr>
      <w:sz w:val="24"/>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customStyle="1">
    <w:name w:val="Indeks"/>
    <w:basedOn w:val="Normal"/>
    <w:qFormat/>
    <w:pPr>
      <w:suppressLineNumbers/>
    </w:pPr>
    <w:rPr>
      <w:rFonts w:cs="Lucida Sans"/>
    </w:rPr>
  </w:style>
  <w:style w:type="paragraph" w:styleId="Gwkaistopka" w:customStyle="1">
    <w:name w:val="Główka i stopka"/>
    <w:basedOn w:val="Normal"/>
    <w:qFormat/>
    <w:pPr/>
    <w:rPr/>
  </w:style>
  <w:style w:type="paragraph" w:styleId="Gwka">
    <w:name w:val="Header"/>
    <w:basedOn w:val="Normal"/>
    <w:next w:val="Tretekstu"/>
    <w:link w:val="NagwekZnak"/>
    <w:semiHidden/>
    <w:rsid w:val="00d733d5"/>
    <w:pPr>
      <w:tabs>
        <w:tab w:val="clear" w:pos="708"/>
        <w:tab w:val="center" w:pos="4252" w:leader="none"/>
        <w:tab w:val="right" w:pos="8504" w:leader="none"/>
      </w:tabs>
    </w:pPr>
    <w:rPr>
      <w:rFonts w:ascii="Century Schoolbook" w:hAnsi="Century Schoolbook"/>
      <w:b/>
      <w:sz w:val="24"/>
      <w:lang w:val="nb-NO"/>
    </w:rPr>
  </w:style>
  <w:style w:type="paragraph" w:styleId="Caption">
    <w:name w:val="caption"/>
    <w:basedOn w:val="Normal"/>
    <w:qFormat/>
    <w:pPr>
      <w:suppressLineNumbers/>
      <w:spacing w:before="120" w:after="120"/>
    </w:pPr>
    <w:rPr>
      <w:rFonts w:cs="Lucida Sans"/>
      <w:i/>
      <w:iCs/>
      <w:sz w:val="24"/>
      <w:szCs w:val="24"/>
    </w:rPr>
  </w:style>
  <w:style w:type="paragraph" w:styleId="Stopka">
    <w:name w:val="Footer"/>
    <w:basedOn w:val="Normal"/>
    <w:semiHidden/>
    <w:rsid w:val="00d733d5"/>
    <w:pPr>
      <w:tabs>
        <w:tab w:val="clear" w:pos="708"/>
        <w:tab w:val="center" w:pos="4536" w:leader="none"/>
        <w:tab w:val="right" w:pos="9072" w:leader="none"/>
      </w:tabs>
    </w:pPr>
    <w:rPr/>
  </w:style>
  <w:style w:type="paragraph" w:styleId="BodyText2">
    <w:name w:val="Body Text 2"/>
    <w:basedOn w:val="Normal"/>
    <w:semiHidden/>
    <w:qFormat/>
    <w:rsid w:val="00d733d5"/>
    <w:pPr>
      <w:jc w:val="center"/>
    </w:pPr>
    <w:rPr>
      <w:b/>
      <w:caps/>
      <w:sz w:val="28"/>
    </w:rPr>
  </w:style>
  <w:style w:type="paragraph" w:styleId="BodyText3">
    <w:name w:val="Body Text 3"/>
    <w:basedOn w:val="Normal"/>
    <w:semiHidden/>
    <w:qFormat/>
    <w:rsid w:val="00d733d5"/>
    <w:pPr/>
    <w:rPr>
      <w:color w:val="FF0000"/>
      <w:sz w:val="24"/>
    </w:rPr>
  </w:style>
  <w:style w:type="paragraph" w:styleId="ListParagraph">
    <w:name w:val="List Paragraph"/>
    <w:basedOn w:val="Normal"/>
    <w:uiPriority w:val="34"/>
    <w:qFormat/>
    <w:rsid w:val="000507a0"/>
    <w:pPr>
      <w:spacing w:before="0" w:after="0"/>
      <w:ind w:left="720" w:hanging="0"/>
      <w:contextualSpacing/>
    </w:pPr>
    <w:rPr/>
  </w:style>
  <w:style w:type="paragraph" w:styleId="BalloonText">
    <w:name w:val="Balloon Text"/>
    <w:basedOn w:val="Normal"/>
    <w:link w:val="TekstdymkaZnak"/>
    <w:uiPriority w:val="99"/>
    <w:semiHidden/>
    <w:unhideWhenUsed/>
    <w:qFormat/>
    <w:rsid w:val="00f9368d"/>
    <w:pPr/>
    <w:rPr>
      <w:rFonts w:ascii="Tahoma" w:hAnsi="Tahoma" w:cs="Tahoma"/>
      <w:sz w:val="16"/>
      <w:szCs w:val="16"/>
    </w:rPr>
  </w:style>
  <w:style w:type="paragraph" w:styleId="Spistreci1">
    <w:name w:val="TOC 1"/>
    <w:basedOn w:val="Normal"/>
    <w:next w:val="Normal"/>
    <w:autoRedefine/>
    <w:semiHidden/>
    <w:rsid w:val="001f349a"/>
    <w:pPr>
      <w:jc w:val="both"/>
    </w:pPr>
    <w:rPr>
      <w:rFonts w:ascii="Calibri" w:hAnsi="Calibri" w:cs="Calibri"/>
      <w:b/>
      <w:sz w:val="24"/>
      <w:szCs w:val="24"/>
      <w:lang w:val="en-US"/>
    </w:rPr>
  </w:style>
  <w:style w:type="paragraph" w:styleId="Spistreci3">
    <w:name w:val="TOC 3"/>
    <w:basedOn w:val="Normal"/>
    <w:next w:val="Normal"/>
    <w:autoRedefine/>
    <w:uiPriority w:val="39"/>
    <w:semiHidden/>
    <w:unhideWhenUsed/>
    <w:rsid w:val="009f3d8a"/>
    <w:pPr>
      <w:ind w:left="400" w:hanging="0"/>
    </w:pPr>
    <w:rPr/>
  </w:style>
  <w:style w:type="paragraph" w:styleId="PlainText">
    <w:name w:val="Plain Text"/>
    <w:basedOn w:val="Normal"/>
    <w:link w:val="ZwykytekstZnak"/>
    <w:uiPriority w:val="99"/>
    <w:semiHidden/>
    <w:unhideWhenUsed/>
    <w:qFormat/>
    <w:rsid w:val="000033ad"/>
    <w:pPr/>
    <w:rPr>
      <w:rFonts w:ascii="Arial" w:hAnsi="Arial" w:eastAsia="Calibri"/>
      <w:color w:val="232F3A"/>
      <w:sz w:val="22"/>
      <w:szCs w:val="21"/>
      <w:lang w:val="nb-NO" w:eastAsia="en-US"/>
    </w:rPr>
  </w:style>
  <w:style w:type="paragraph" w:styleId="Annotationtext">
    <w:name w:val="annotation text"/>
    <w:basedOn w:val="Normal"/>
    <w:link w:val="TekstkomentarzaZnak"/>
    <w:uiPriority w:val="99"/>
    <w:unhideWhenUsed/>
    <w:qFormat/>
    <w:rsid w:val="00455b76"/>
    <w:pPr/>
    <w:rPr/>
  </w:style>
  <w:style w:type="paragraph" w:styleId="Annotationsubject">
    <w:name w:val="annotation subject"/>
    <w:basedOn w:val="Annotationtext"/>
    <w:next w:val="Annotationtext"/>
    <w:link w:val="TematkomentarzaZnak"/>
    <w:uiPriority w:val="99"/>
    <w:semiHidden/>
    <w:unhideWhenUsed/>
    <w:qFormat/>
    <w:rsid w:val="00455b76"/>
    <w:pPr/>
    <w:rPr>
      <w:b/>
      <w:bCs/>
    </w:rPr>
  </w:style>
  <w:style w:type="paragraph" w:styleId="Przypisdolny">
    <w:name w:val="Footnote Text"/>
    <w:basedOn w:val="Normal"/>
    <w:link w:val="TekstprzypisudolnegoZnak"/>
    <w:uiPriority w:val="99"/>
    <w:semiHidden/>
    <w:unhideWhenUsed/>
    <w:rsid w:val="005316a0"/>
    <w:pPr/>
    <w:rPr/>
  </w:style>
  <w:style w:type="paragraph" w:styleId="Zawartoramki" w:customStyle="1">
    <w:name w:val="Zawartość ramki"/>
    <w:basedOn w:val="Normal"/>
    <w:qFormat/>
    <w:pPr/>
    <w:rPr/>
  </w:style>
  <w:style w:type="paragraph" w:styleId="Revision">
    <w:name w:val="Revision"/>
    <w:uiPriority w:val="99"/>
    <w:semiHidden/>
    <w:qFormat/>
    <w:rsid w:val="00774357"/>
    <w:pPr>
      <w:widowControl/>
      <w:suppressAutoHyphens w:val="false"/>
      <w:bidi w:val="0"/>
      <w:spacing w:before="0" w:after="0"/>
      <w:jc w:val="left"/>
    </w:pPr>
    <w:rPr>
      <w:rFonts w:ascii="Times New Roman" w:hAnsi="Times New Roman" w:eastAsia="Times New Roman" w:cs="Times New Roman"/>
      <w:color w:val="auto"/>
      <w:kern w:val="0"/>
      <w:sz w:val="20"/>
      <w:szCs w:val="20"/>
      <w:lang w:val="en-GB" w:eastAsia="nb-NO" w:bidi="ar-SA"/>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rsid w:val="005316a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Relationship Id="rId14"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42d0c5-7fac-48b8-a981-8689dc82b246" xsi:nil="true"/>
    <lcf76f155ced4ddcb4097134ff3c332f xmlns="0deb5af7-051a-4487-b899-31ef6f285c7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D37CDEC7AA1A4383657CD3A93FE024" ma:contentTypeVersion="13" ma:contentTypeDescription="Create a new document." ma:contentTypeScope="" ma:versionID="af38c89d8e39dcbb59c810b424728c56">
  <xsd:schema xmlns:xsd="http://www.w3.org/2001/XMLSchema" xmlns:xs="http://www.w3.org/2001/XMLSchema" xmlns:p="http://schemas.microsoft.com/office/2006/metadata/properties" xmlns:ns2="0deb5af7-051a-4487-b899-31ef6f285c73" xmlns:ns3="5c42d0c5-7fac-48b8-a981-8689dc82b246" targetNamespace="http://schemas.microsoft.com/office/2006/metadata/properties" ma:root="true" ma:fieldsID="9a4d449e645e36fda22bf45ab9c98a6c" ns2:_="" ns3:_="">
    <xsd:import namespace="0deb5af7-051a-4487-b899-31ef6f285c73"/>
    <xsd:import namespace="5c42d0c5-7fac-48b8-a981-8689dc82b2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b5af7-051a-4487-b899-31ef6f285c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dcd2b1-bebc-4416-86dc-258ac3399282"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42d0c5-7fac-48b8-a981-8689dc82b2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5c44e8c-3333-4cde-89f3-c5ee112a9378}" ma:internalName="TaxCatchAll" ma:showField="CatchAllData" ma:web="5c42d0c5-7fac-48b8-a981-8689dc82b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1FEA4A-5BF7-4F0A-9797-D7ADF8EB015F}">
  <ds:schemaRefs>
    <ds:schemaRef ds:uri="http://schemas.microsoft.com/sharepoint/v3/contenttype/forms"/>
  </ds:schemaRefs>
</ds:datastoreItem>
</file>

<file path=customXml/itemProps2.xml><?xml version="1.0" encoding="utf-8"?>
<ds:datastoreItem xmlns:ds="http://schemas.openxmlformats.org/officeDocument/2006/customXml" ds:itemID="{F0D39DC4-8982-4D81-9B87-F41C298B8FBF}">
  <ds:schemaRefs>
    <ds:schemaRef ds:uri="http://schemas.microsoft.com/office/2006/metadata/properties"/>
    <ds:schemaRef ds:uri="http://schemas.microsoft.com/office/infopath/2007/PartnerControls"/>
    <ds:schemaRef ds:uri="5c42d0c5-7fac-48b8-a981-8689dc82b246"/>
    <ds:schemaRef ds:uri="0deb5af7-051a-4487-b899-31ef6f285c73"/>
  </ds:schemaRefs>
</ds:datastoreItem>
</file>

<file path=customXml/itemProps3.xml><?xml version="1.0" encoding="utf-8"?>
<ds:datastoreItem xmlns:ds="http://schemas.openxmlformats.org/officeDocument/2006/customXml" ds:itemID="{07447DDA-FC4A-4504-9126-279915797090}">
  <ds:schemaRefs>
    <ds:schemaRef ds:uri="http://schemas.openxmlformats.org/officeDocument/2006/bibliography"/>
  </ds:schemaRefs>
</ds:datastoreItem>
</file>

<file path=customXml/itemProps4.xml><?xml version="1.0" encoding="utf-8"?>
<ds:datastoreItem xmlns:ds="http://schemas.openxmlformats.org/officeDocument/2006/customXml" ds:itemID="{6B3AA073-BE9C-4EC6-BD13-69135F0CE6D5}"/>
</file>

<file path=docProps/app.xml><?xml version="1.0" encoding="utf-8"?>
<Properties xmlns="http://schemas.openxmlformats.org/officeDocument/2006/extended-properties" xmlns:vt="http://schemas.openxmlformats.org/officeDocument/2006/docPropsVTypes">
  <Template>Normal</Template>
  <TotalTime>0</TotalTime>
  <Pages>4</Pages>
  <Words>639</Words>
  <Characters>3650</Characters>
  <Paragraphs>60</Paragraphs>
  <CharactersWithSpaces>4228</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description/>
  <cp:lastModifiedBy/>
  <dcterms:created xsi:type="dcterms:W3CDTF">2023-08-09T03:35:35Z</dcterms:created>
  <dcterms:modified xsi:type="dcterms:W3CDTF">2023-08-09T03:35:36Z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0x010100EBD37CDEC7AA1A4383657CD3A93FE024</vt:lpwstr>
  </property>
  <property fmtid="{D5CDD505-2E9C-101B-9397-08002B2CF9AE}" pid="3" name="MSIP_Label_6627b15a-80ec-4ef7-8353-f32e3c89bf3e_ActionId">
    <vt:lpwstr>4a455085-e9eb-4a15-84d3-c031a1898a51</vt:lpwstr>
  </property>
  <property fmtid="{D5CDD505-2E9C-101B-9397-08002B2CF9AE}" pid="4" name="MSIP_Label_6627b15a-80ec-4ef7-8353-f32e3c89bf3e_ContentBits">
    <vt:lpwstr>2</vt:lpwstr>
  </property>
  <property fmtid="{D5CDD505-2E9C-101B-9397-08002B2CF9AE}" pid="5" name="MSIP_Label_6627b15a-80ec-4ef7-8353-f32e3c89bf3e_Enabled">
    <vt:lpwstr>true</vt:lpwstr>
  </property>
  <property fmtid="{D5CDD505-2E9C-101B-9397-08002B2CF9AE}" pid="6" name="MSIP_Label_6627b15a-80ec-4ef7-8353-f32e3c89bf3e_Method">
    <vt:lpwstr>Privileged</vt:lpwstr>
  </property>
  <property fmtid="{D5CDD505-2E9C-101B-9397-08002B2CF9AE}" pid="7" name="MSIP_Label_6627b15a-80ec-4ef7-8353-f32e3c89bf3e_Name">
    <vt:lpwstr>IFRC Internal</vt:lpwstr>
  </property>
  <property fmtid="{D5CDD505-2E9C-101B-9397-08002B2CF9AE}" pid="8" name="MSIP_Label_6627b15a-80ec-4ef7-8353-f32e3c89bf3e_SetDate">
    <vt:lpwstr>2023-06-29T08:27:29Z</vt:lpwstr>
  </property>
  <property fmtid="{D5CDD505-2E9C-101B-9397-08002B2CF9AE}" pid="9" name="MSIP_Label_6627b15a-80ec-4ef7-8353-f32e3c89bf3e_SiteId">
    <vt:lpwstr>a2b53be5-734e-4e6c-ab0d-d184f60fd917</vt:lpwstr>
  </property>
  <property fmtid="{D5CDD505-2E9C-101B-9397-08002B2CF9AE}" pid="10" name="MediaServiceImageTags">
    <vt:lpwstr/>
  </property>
</Properties>
</file>